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2C7E39" w:rsidRDefault="00CD432F" w:rsidP="00CD432F">
      <w:pPr>
        <w:rPr>
          <w:b/>
          <w:sz w:val="24"/>
          <w:szCs w:val="24"/>
        </w:rPr>
      </w:pPr>
      <w:r>
        <w:rPr>
          <w:b/>
          <w:sz w:val="24"/>
          <w:szCs w:val="24"/>
        </w:rPr>
        <w:t xml:space="preserve">Settlement Name: </w:t>
      </w:r>
      <w:r w:rsidR="001B7854">
        <w:rPr>
          <w:sz w:val="24"/>
          <w:szCs w:val="24"/>
        </w:rPr>
        <w:t>B</w:t>
      </w:r>
      <w:r w:rsidR="00BD543D">
        <w:rPr>
          <w:sz w:val="24"/>
          <w:szCs w:val="24"/>
        </w:rPr>
        <w:t>urton in Lonsdale</w:t>
      </w:r>
      <w:r>
        <w:rPr>
          <w:b/>
          <w:sz w:val="24"/>
          <w:szCs w:val="24"/>
        </w:rPr>
        <w:t xml:space="preserve"> </w:t>
      </w:r>
    </w:p>
    <w:p w:rsidR="00C1109B" w:rsidRDefault="00CD432F" w:rsidP="00CD432F">
      <w:pPr>
        <w:rPr>
          <w:sz w:val="24"/>
          <w:szCs w:val="24"/>
        </w:rPr>
      </w:pPr>
      <w:r>
        <w:rPr>
          <w:b/>
          <w:sz w:val="24"/>
          <w:szCs w:val="24"/>
        </w:rPr>
        <w:t xml:space="preserve">Site Number and Address: </w:t>
      </w:r>
      <w:r w:rsidR="00CF6B0D">
        <w:rPr>
          <w:sz w:val="24"/>
          <w:szCs w:val="24"/>
        </w:rPr>
        <w:t>BU012</w:t>
      </w:r>
      <w:r w:rsidR="00F85A12">
        <w:rPr>
          <w:sz w:val="24"/>
          <w:szCs w:val="24"/>
        </w:rPr>
        <w:t>;</w:t>
      </w:r>
      <w:r w:rsidR="00E94EFD">
        <w:rPr>
          <w:sz w:val="24"/>
          <w:szCs w:val="24"/>
        </w:rPr>
        <w:t xml:space="preserve"> </w:t>
      </w:r>
      <w:r w:rsidR="00CF6B0D">
        <w:rPr>
          <w:sz w:val="24"/>
          <w:szCs w:val="24"/>
        </w:rPr>
        <w:t>Richar</w:t>
      </w:r>
      <w:r w:rsidR="002873DD">
        <w:rPr>
          <w:sz w:val="24"/>
          <w:szCs w:val="24"/>
        </w:rPr>
        <w:t>d Thornton’s CE Primary School</w:t>
      </w:r>
    </w:p>
    <w:p w:rsidR="00F62E2A" w:rsidRPr="00F62E2A" w:rsidRDefault="00F62E2A" w:rsidP="00CD432F">
      <w:pPr>
        <w:rPr>
          <w:sz w:val="24"/>
          <w:szCs w:val="24"/>
        </w:rPr>
      </w:pPr>
    </w:p>
    <w:p w:rsidR="00CD432F" w:rsidRPr="00776515" w:rsidRDefault="00CD432F">
      <w:pPr>
        <w:rPr>
          <w:b/>
          <w:sz w:val="24"/>
          <w:szCs w:val="24"/>
          <w:u w:val="single"/>
        </w:rPr>
      </w:pPr>
      <w:r w:rsidRPr="00776515">
        <w:rPr>
          <w:b/>
          <w:sz w:val="24"/>
          <w:szCs w:val="24"/>
          <w:u w:val="single"/>
        </w:rPr>
        <w:t xml:space="preserve">Stage 1: </w:t>
      </w:r>
      <w:r w:rsidR="00BD543D">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tbl>
      <w:tblPr>
        <w:tblpPr w:leftFromText="180" w:rightFromText="180" w:vertAnchor="text" w:horzAnchor="margin" w:tblpY="142"/>
        <w:tblW w:w="13207" w:type="dxa"/>
        <w:tblLook w:val="04A0" w:firstRow="1" w:lastRow="0" w:firstColumn="1" w:lastColumn="0" w:noHBand="0" w:noVBand="1"/>
      </w:tblPr>
      <w:tblGrid>
        <w:gridCol w:w="1376"/>
        <w:gridCol w:w="329"/>
        <w:gridCol w:w="329"/>
        <w:gridCol w:w="329"/>
        <w:gridCol w:w="329"/>
        <w:gridCol w:w="329"/>
        <w:gridCol w:w="329"/>
        <w:gridCol w:w="329"/>
        <w:gridCol w:w="332"/>
        <w:gridCol w:w="380"/>
        <w:gridCol w:w="372"/>
        <w:gridCol w:w="372"/>
        <w:gridCol w:w="372"/>
        <w:gridCol w:w="380"/>
        <w:gridCol w:w="372"/>
        <w:gridCol w:w="372"/>
        <w:gridCol w:w="372"/>
        <w:gridCol w:w="372"/>
        <w:gridCol w:w="372"/>
        <w:gridCol w:w="372"/>
        <w:gridCol w:w="372"/>
        <w:gridCol w:w="3332"/>
        <w:gridCol w:w="1384"/>
      </w:tblGrid>
      <w:tr w:rsidR="00E94EFD" w:rsidRPr="00E66E27" w:rsidTr="007E0D0A">
        <w:trPr>
          <w:trHeight w:val="435"/>
        </w:trPr>
        <w:tc>
          <w:tcPr>
            <w:tcW w:w="1376" w:type="dxa"/>
            <w:tcBorders>
              <w:top w:val="single" w:sz="8" w:space="0" w:color="auto"/>
              <w:left w:val="single" w:sz="8" w:space="0" w:color="auto"/>
              <w:bottom w:val="nil"/>
              <w:right w:val="nil"/>
            </w:tcBorders>
            <w:shd w:val="clear" w:color="auto" w:fill="BFBFBF" w:themeFill="background1" w:themeFillShade="BF"/>
            <w:vAlign w:val="center"/>
          </w:tcPr>
          <w:p w:rsidR="00E94EFD" w:rsidRPr="00E66E27" w:rsidRDefault="00E94EFD" w:rsidP="007E0D0A">
            <w:pPr>
              <w:spacing w:after="0" w:line="240" w:lineRule="auto"/>
              <w:rPr>
                <w:rFonts w:ascii="Arial" w:eastAsia="Times New Roman" w:hAnsi="Arial" w:cs="Arial"/>
                <w:bCs/>
                <w:color w:val="000000"/>
                <w:sz w:val="14"/>
                <w:szCs w:val="20"/>
                <w:lang w:eastAsia="en-GB"/>
              </w:rPr>
            </w:pPr>
            <w:r w:rsidRPr="00E66E27">
              <w:rPr>
                <w:rFonts w:ascii="Arial" w:eastAsia="Times New Roman" w:hAnsi="Arial" w:cs="Arial"/>
                <w:bCs/>
                <w:color w:val="000000"/>
                <w:sz w:val="14"/>
                <w:szCs w:val="20"/>
                <w:lang w:eastAsia="en-GB"/>
              </w:rPr>
              <w:t>Site reference, name/address &amp; area</w:t>
            </w:r>
          </w:p>
        </w:tc>
        <w:tc>
          <w:tcPr>
            <w:tcW w:w="32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E94EFD" w:rsidRPr="00481935" w:rsidRDefault="00E94EFD"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w:t>
            </w:r>
          </w:p>
        </w:tc>
        <w:tc>
          <w:tcPr>
            <w:tcW w:w="329"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E94EFD" w:rsidRPr="00481935" w:rsidRDefault="00E94EFD"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2</w:t>
            </w:r>
          </w:p>
        </w:tc>
        <w:tc>
          <w:tcPr>
            <w:tcW w:w="329"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E94EFD" w:rsidRPr="00481935" w:rsidRDefault="00E94EFD"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3</w:t>
            </w:r>
          </w:p>
        </w:tc>
        <w:tc>
          <w:tcPr>
            <w:tcW w:w="329"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E94EFD" w:rsidRPr="00481935" w:rsidRDefault="00E94EFD"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4</w:t>
            </w:r>
          </w:p>
        </w:tc>
        <w:tc>
          <w:tcPr>
            <w:tcW w:w="329"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E94EFD" w:rsidRPr="00481935" w:rsidRDefault="00E94EFD"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5</w:t>
            </w:r>
          </w:p>
        </w:tc>
        <w:tc>
          <w:tcPr>
            <w:tcW w:w="329"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E94EFD" w:rsidRPr="00481935" w:rsidRDefault="00E94EFD"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6</w:t>
            </w:r>
          </w:p>
        </w:tc>
        <w:tc>
          <w:tcPr>
            <w:tcW w:w="329"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E94EFD" w:rsidRPr="00481935" w:rsidRDefault="00E94EFD"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7</w:t>
            </w:r>
          </w:p>
        </w:tc>
        <w:tc>
          <w:tcPr>
            <w:tcW w:w="332"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E94EFD" w:rsidRPr="00481935" w:rsidRDefault="00E94EFD"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8</w:t>
            </w:r>
          </w:p>
        </w:tc>
        <w:tc>
          <w:tcPr>
            <w:tcW w:w="38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E94EFD" w:rsidRPr="00481935" w:rsidRDefault="00E94EFD"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9</w:t>
            </w:r>
          </w:p>
        </w:tc>
        <w:tc>
          <w:tcPr>
            <w:tcW w:w="372"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E94EFD" w:rsidRPr="00481935" w:rsidRDefault="00E94EFD"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10</w:t>
            </w:r>
          </w:p>
        </w:tc>
        <w:tc>
          <w:tcPr>
            <w:tcW w:w="372"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E94EFD" w:rsidRPr="00481935" w:rsidRDefault="00E94EFD"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11</w:t>
            </w:r>
          </w:p>
        </w:tc>
        <w:tc>
          <w:tcPr>
            <w:tcW w:w="372"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E94EFD" w:rsidRPr="00481935" w:rsidRDefault="00E94EFD"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12</w:t>
            </w:r>
          </w:p>
        </w:tc>
        <w:tc>
          <w:tcPr>
            <w:tcW w:w="38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E94EFD" w:rsidRPr="00481935" w:rsidRDefault="00E94EFD"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13</w:t>
            </w:r>
          </w:p>
        </w:tc>
        <w:tc>
          <w:tcPr>
            <w:tcW w:w="372"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E94EFD" w:rsidRPr="00481935" w:rsidRDefault="00E94EFD"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14</w:t>
            </w:r>
          </w:p>
        </w:tc>
        <w:tc>
          <w:tcPr>
            <w:tcW w:w="372"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E94EFD" w:rsidRPr="00481935" w:rsidRDefault="00E94EFD"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15</w:t>
            </w:r>
          </w:p>
        </w:tc>
        <w:tc>
          <w:tcPr>
            <w:tcW w:w="372"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E94EFD" w:rsidRPr="00481935" w:rsidRDefault="00E94EFD"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16</w:t>
            </w:r>
          </w:p>
        </w:tc>
        <w:tc>
          <w:tcPr>
            <w:tcW w:w="372"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E94EFD" w:rsidRPr="00481935" w:rsidRDefault="00E94EFD"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17</w:t>
            </w:r>
          </w:p>
        </w:tc>
        <w:tc>
          <w:tcPr>
            <w:tcW w:w="372"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E94EFD" w:rsidRPr="00481935" w:rsidRDefault="00E94EFD"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18</w:t>
            </w:r>
          </w:p>
        </w:tc>
        <w:tc>
          <w:tcPr>
            <w:tcW w:w="372"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E94EFD" w:rsidRPr="00481935" w:rsidRDefault="00E94EFD"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19</w:t>
            </w:r>
          </w:p>
        </w:tc>
        <w:tc>
          <w:tcPr>
            <w:tcW w:w="372"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E94EFD" w:rsidRPr="00481935" w:rsidRDefault="00E94EFD" w:rsidP="007E0D0A">
            <w:pPr>
              <w:spacing w:after="0" w:line="240" w:lineRule="auto"/>
              <w:rPr>
                <w:rFonts w:ascii="Arial" w:eastAsia="Times New Roman" w:hAnsi="Arial" w:cs="Arial"/>
                <w:color w:val="000000"/>
                <w:sz w:val="14"/>
                <w:szCs w:val="20"/>
                <w:lang w:eastAsia="en-GB"/>
              </w:rPr>
            </w:pPr>
            <w:r>
              <w:rPr>
                <w:rFonts w:ascii="Arial" w:eastAsia="Times New Roman" w:hAnsi="Arial" w:cs="Arial"/>
                <w:color w:val="000000"/>
                <w:sz w:val="14"/>
                <w:szCs w:val="20"/>
                <w:lang w:eastAsia="en-GB"/>
              </w:rPr>
              <w:t>20</w:t>
            </w:r>
          </w:p>
        </w:tc>
        <w:tc>
          <w:tcPr>
            <w:tcW w:w="3332" w:type="dxa"/>
            <w:tcBorders>
              <w:top w:val="single" w:sz="4" w:space="0" w:color="auto"/>
              <w:left w:val="nil"/>
              <w:bottom w:val="nil"/>
              <w:right w:val="single" w:sz="4" w:space="0" w:color="auto"/>
            </w:tcBorders>
            <w:shd w:val="clear" w:color="auto" w:fill="BFBFBF" w:themeFill="background1" w:themeFillShade="BF"/>
            <w:vAlign w:val="center"/>
          </w:tcPr>
          <w:p w:rsidR="00E94EFD" w:rsidRPr="00481935" w:rsidRDefault="00E94EFD" w:rsidP="007E0D0A">
            <w:pPr>
              <w:spacing w:after="0" w:line="240" w:lineRule="auto"/>
              <w:jc w:val="center"/>
              <w:rPr>
                <w:rFonts w:ascii="Arial" w:eastAsia="Times New Roman" w:hAnsi="Arial" w:cs="Arial"/>
                <w:b/>
                <w:bCs/>
                <w:color w:val="000000"/>
                <w:sz w:val="14"/>
                <w:szCs w:val="20"/>
                <w:lang w:eastAsia="en-GB"/>
              </w:rPr>
            </w:pPr>
            <w:r>
              <w:rPr>
                <w:rFonts w:ascii="Arial" w:eastAsia="Times New Roman" w:hAnsi="Arial" w:cs="Arial"/>
                <w:b/>
                <w:bCs/>
                <w:color w:val="000000"/>
                <w:sz w:val="14"/>
                <w:szCs w:val="20"/>
                <w:lang w:eastAsia="en-GB"/>
              </w:rPr>
              <w:t>Summary of Issues and Recommendations</w:t>
            </w:r>
          </w:p>
        </w:tc>
        <w:tc>
          <w:tcPr>
            <w:tcW w:w="1384" w:type="dxa"/>
            <w:tcBorders>
              <w:top w:val="single" w:sz="8" w:space="0" w:color="auto"/>
              <w:left w:val="nil"/>
              <w:bottom w:val="nil"/>
              <w:right w:val="single" w:sz="8" w:space="0" w:color="auto"/>
            </w:tcBorders>
            <w:shd w:val="clear" w:color="auto" w:fill="BFBFBF" w:themeFill="background1" w:themeFillShade="BF"/>
            <w:vAlign w:val="center"/>
          </w:tcPr>
          <w:p w:rsidR="00E94EFD" w:rsidRPr="00E66E27" w:rsidRDefault="00E94EFD" w:rsidP="007E0D0A">
            <w:pPr>
              <w:spacing w:after="0" w:line="240" w:lineRule="auto"/>
              <w:jc w:val="center"/>
              <w:rPr>
                <w:rFonts w:ascii="Arial" w:eastAsia="Times New Roman" w:hAnsi="Arial" w:cs="Arial"/>
                <w:color w:val="000000"/>
                <w:sz w:val="14"/>
                <w:szCs w:val="14"/>
                <w:lang w:eastAsia="en-GB"/>
              </w:rPr>
            </w:pPr>
            <w:r w:rsidRPr="00E66E27">
              <w:rPr>
                <w:rFonts w:ascii="Arial" w:eastAsia="Times New Roman" w:hAnsi="Arial" w:cs="Arial"/>
                <w:color w:val="000000"/>
                <w:sz w:val="14"/>
                <w:szCs w:val="14"/>
                <w:lang w:eastAsia="en-GB"/>
              </w:rPr>
              <w:t>Mitigation and Recommendations</w:t>
            </w:r>
          </w:p>
        </w:tc>
      </w:tr>
      <w:tr w:rsidR="00E94EFD" w:rsidRPr="00E66E27" w:rsidTr="007E0D0A">
        <w:trPr>
          <w:trHeight w:val="248"/>
        </w:trPr>
        <w:tc>
          <w:tcPr>
            <w:tcW w:w="1376" w:type="dxa"/>
            <w:tcBorders>
              <w:top w:val="single" w:sz="8" w:space="0" w:color="auto"/>
              <w:left w:val="single" w:sz="8" w:space="0" w:color="auto"/>
              <w:bottom w:val="nil"/>
              <w:right w:val="nil"/>
            </w:tcBorders>
            <w:shd w:val="clear" w:color="auto" w:fill="auto"/>
            <w:vAlign w:val="center"/>
          </w:tcPr>
          <w:p w:rsidR="00E94EFD" w:rsidRPr="00E66E27" w:rsidRDefault="00E94EFD" w:rsidP="007E0D0A">
            <w:pPr>
              <w:spacing w:after="0" w:line="240" w:lineRule="auto"/>
              <w:jc w:val="center"/>
              <w:rPr>
                <w:rFonts w:ascii="Arial" w:eastAsia="Times New Roman" w:hAnsi="Arial" w:cs="Arial"/>
                <w:b/>
                <w:bCs/>
                <w:i/>
                <w:color w:val="000000"/>
                <w:sz w:val="14"/>
                <w:szCs w:val="20"/>
                <w:lang w:eastAsia="en-GB"/>
              </w:rPr>
            </w:pPr>
            <w:r>
              <w:rPr>
                <w:rFonts w:ascii="Arial" w:eastAsia="Times New Roman" w:hAnsi="Arial" w:cs="Arial"/>
                <w:b/>
                <w:bCs/>
                <w:i/>
                <w:color w:val="000000"/>
                <w:szCs w:val="20"/>
                <w:lang w:eastAsia="en-GB"/>
              </w:rPr>
              <w:t>Burton in Lonsdale</w:t>
            </w:r>
          </w:p>
        </w:tc>
        <w:tc>
          <w:tcPr>
            <w:tcW w:w="329" w:type="dxa"/>
            <w:tcBorders>
              <w:top w:val="single" w:sz="4" w:space="0" w:color="auto"/>
              <w:left w:val="single" w:sz="4" w:space="0" w:color="auto"/>
              <w:bottom w:val="single" w:sz="4" w:space="0" w:color="auto"/>
              <w:right w:val="single" w:sz="4" w:space="0" w:color="auto"/>
            </w:tcBorders>
            <w:shd w:val="clear" w:color="auto" w:fill="auto"/>
            <w:vAlign w:val="center"/>
          </w:tcPr>
          <w:p w:rsidR="00E94EFD" w:rsidRDefault="00E94EFD" w:rsidP="007E0D0A">
            <w:pPr>
              <w:spacing w:after="0" w:line="240" w:lineRule="auto"/>
              <w:rPr>
                <w:rFonts w:ascii="Arial" w:eastAsia="Times New Roman" w:hAnsi="Arial" w:cs="Arial"/>
                <w:color w:val="000000"/>
                <w:sz w:val="14"/>
                <w:szCs w:val="20"/>
                <w:lang w:eastAsia="en-GB"/>
              </w:rPr>
            </w:pPr>
          </w:p>
        </w:tc>
        <w:tc>
          <w:tcPr>
            <w:tcW w:w="329" w:type="dxa"/>
            <w:tcBorders>
              <w:top w:val="single" w:sz="4" w:space="0" w:color="auto"/>
              <w:left w:val="nil"/>
              <w:bottom w:val="single" w:sz="4" w:space="0" w:color="auto"/>
              <w:right w:val="single" w:sz="4" w:space="0" w:color="auto"/>
            </w:tcBorders>
            <w:shd w:val="clear" w:color="auto" w:fill="auto"/>
            <w:vAlign w:val="center"/>
          </w:tcPr>
          <w:p w:rsidR="00E94EFD" w:rsidRDefault="00E94EFD" w:rsidP="007E0D0A">
            <w:pPr>
              <w:spacing w:after="0" w:line="240" w:lineRule="auto"/>
              <w:rPr>
                <w:rFonts w:ascii="Arial" w:eastAsia="Times New Roman" w:hAnsi="Arial" w:cs="Arial"/>
                <w:color w:val="000000"/>
                <w:sz w:val="14"/>
                <w:szCs w:val="20"/>
                <w:lang w:eastAsia="en-GB"/>
              </w:rPr>
            </w:pPr>
          </w:p>
        </w:tc>
        <w:tc>
          <w:tcPr>
            <w:tcW w:w="329" w:type="dxa"/>
            <w:tcBorders>
              <w:top w:val="single" w:sz="4" w:space="0" w:color="auto"/>
              <w:left w:val="nil"/>
              <w:bottom w:val="single" w:sz="4" w:space="0" w:color="auto"/>
              <w:right w:val="single" w:sz="4" w:space="0" w:color="auto"/>
            </w:tcBorders>
            <w:shd w:val="clear" w:color="auto" w:fill="auto"/>
            <w:vAlign w:val="center"/>
          </w:tcPr>
          <w:p w:rsidR="00E94EFD" w:rsidRDefault="00E94EFD" w:rsidP="007E0D0A">
            <w:pPr>
              <w:spacing w:after="0" w:line="240" w:lineRule="auto"/>
              <w:rPr>
                <w:rFonts w:ascii="Arial" w:eastAsia="Times New Roman" w:hAnsi="Arial" w:cs="Arial"/>
                <w:color w:val="000000"/>
                <w:sz w:val="14"/>
                <w:szCs w:val="20"/>
                <w:lang w:eastAsia="en-GB"/>
              </w:rPr>
            </w:pPr>
          </w:p>
        </w:tc>
        <w:tc>
          <w:tcPr>
            <w:tcW w:w="329" w:type="dxa"/>
            <w:tcBorders>
              <w:top w:val="single" w:sz="4" w:space="0" w:color="auto"/>
              <w:left w:val="nil"/>
              <w:bottom w:val="single" w:sz="4" w:space="0" w:color="auto"/>
              <w:right w:val="single" w:sz="4" w:space="0" w:color="auto"/>
            </w:tcBorders>
            <w:shd w:val="clear" w:color="auto" w:fill="auto"/>
            <w:vAlign w:val="center"/>
          </w:tcPr>
          <w:p w:rsidR="00E94EFD" w:rsidRDefault="00E94EFD" w:rsidP="007E0D0A">
            <w:pPr>
              <w:spacing w:after="0" w:line="240" w:lineRule="auto"/>
              <w:rPr>
                <w:rFonts w:ascii="Arial" w:eastAsia="Times New Roman" w:hAnsi="Arial" w:cs="Arial"/>
                <w:color w:val="000000"/>
                <w:sz w:val="14"/>
                <w:szCs w:val="20"/>
                <w:lang w:eastAsia="en-GB"/>
              </w:rPr>
            </w:pPr>
          </w:p>
        </w:tc>
        <w:tc>
          <w:tcPr>
            <w:tcW w:w="329" w:type="dxa"/>
            <w:tcBorders>
              <w:top w:val="single" w:sz="4" w:space="0" w:color="auto"/>
              <w:left w:val="nil"/>
              <w:bottom w:val="single" w:sz="4" w:space="0" w:color="auto"/>
              <w:right w:val="single" w:sz="4" w:space="0" w:color="auto"/>
            </w:tcBorders>
            <w:shd w:val="clear" w:color="auto" w:fill="auto"/>
            <w:vAlign w:val="center"/>
          </w:tcPr>
          <w:p w:rsidR="00E94EFD" w:rsidRDefault="00E94EFD" w:rsidP="007E0D0A">
            <w:pPr>
              <w:spacing w:after="0" w:line="240" w:lineRule="auto"/>
              <w:rPr>
                <w:rFonts w:ascii="Arial" w:eastAsia="Times New Roman" w:hAnsi="Arial" w:cs="Arial"/>
                <w:color w:val="000000"/>
                <w:sz w:val="14"/>
                <w:szCs w:val="20"/>
                <w:lang w:eastAsia="en-GB"/>
              </w:rPr>
            </w:pPr>
          </w:p>
        </w:tc>
        <w:tc>
          <w:tcPr>
            <w:tcW w:w="329" w:type="dxa"/>
            <w:tcBorders>
              <w:top w:val="single" w:sz="4" w:space="0" w:color="auto"/>
              <w:left w:val="nil"/>
              <w:bottom w:val="single" w:sz="4" w:space="0" w:color="auto"/>
              <w:right w:val="single" w:sz="4" w:space="0" w:color="auto"/>
            </w:tcBorders>
            <w:shd w:val="clear" w:color="auto" w:fill="auto"/>
            <w:vAlign w:val="center"/>
          </w:tcPr>
          <w:p w:rsidR="00E94EFD" w:rsidRDefault="00E94EFD" w:rsidP="007E0D0A">
            <w:pPr>
              <w:spacing w:after="0" w:line="240" w:lineRule="auto"/>
              <w:rPr>
                <w:rFonts w:ascii="Arial" w:eastAsia="Times New Roman" w:hAnsi="Arial" w:cs="Arial"/>
                <w:color w:val="000000"/>
                <w:sz w:val="14"/>
                <w:szCs w:val="20"/>
                <w:lang w:eastAsia="en-GB"/>
              </w:rPr>
            </w:pPr>
          </w:p>
        </w:tc>
        <w:tc>
          <w:tcPr>
            <w:tcW w:w="329" w:type="dxa"/>
            <w:tcBorders>
              <w:top w:val="single" w:sz="4" w:space="0" w:color="auto"/>
              <w:left w:val="nil"/>
              <w:bottom w:val="single" w:sz="4" w:space="0" w:color="auto"/>
              <w:right w:val="single" w:sz="4" w:space="0" w:color="auto"/>
            </w:tcBorders>
            <w:shd w:val="clear" w:color="auto" w:fill="auto"/>
            <w:vAlign w:val="center"/>
          </w:tcPr>
          <w:p w:rsidR="00E94EFD" w:rsidRDefault="00E94EFD" w:rsidP="007E0D0A">
            <w:pPr>
              <w:spacing w:after="0" w:line="240" w:lineRule="auto"/>
              <w:rPr>
                <w:rFonts w:ascii="Arial" w:eastAsia="Times New Roman" w:hAnsi="Arial" w:cs="Arial"/>
                <w:color w:val="000000"/>
                <w:sz w:val="14"/>
                <w:szCs w:val="20"/>
                <w:lang w:eastAsia="en-GB"/>
              </w:rPr>
            </w:pPr>
          </w:p>
        </w:tc>
        <w:tc>
          <w:tcPr>
            <w:tcW w:w="332" w:type="dxa"/>
            <w:tcBorders>
              <w:top w:val="single" w:sz="4" w:space="0" w:color="auto"/>
              <w:left w:val="nil"/>
              <w:bottom w:val="single" w:sz="4" w:space="0" w:color="auto"/>
              <w:right w:val="single" w:sz="4" w:space="0" w:color="auto"/>
            </w:tcBorders>
            <w:shd w:val="clear" w:color="auto" w:fill="auto"/>
            <w:vAlign w:val="center"/>
          </w:tcPr>
          <w:p w:rsidR="00E94EFD" w:rsidRDefault="00E94EFD" w:rsidP="007E0D0A">
            <w:pPr>
              <w:spacing w:after="0" w:line="240" w:lineRule="auto"/>
              <w:rPr>
                <w:rFonts w:ascii="Arial" w:eastAsia="Times New Roman" w:hAnsi="Arial" w:cs="Arial"/>
                <w:color w:val="000000"/>
                <w:sz w:val="14"/>
                <w:szCs w:val="20"/>
                <w:lang w:eastAsia="en-GB"/>
              </w:rPr>
            </w:pPr>
          </w:p>
        </w:tc>
        <w:tc>
          <w:tcPr>
            <w:tcW w:w="380" w:type="dxa"/>
            <w:tcBorders>
              <w:top w:val="single" w:sz="4" w:space="0" w:color="auto"/>
              <w:left w:val="nil"/>
              <w:bottom w:val="single" w:sz="4" w:space="0" w:color="auto"/>
              <w:right w:val="single" w:sz="4" w:space="0" w:color="auto"/>
            </w:tcBorders>
            <w:shd w:val="clear" w:color="auto" w:fill="auto"/>
            <w:vAlign w:val="center"/>
          </w:tcPr>
          <w:p w:rsidR="00E94EFD" w:rsidRDefault="00E94EFD" w:rsidP="007E0D0A">
            <w:pPr>
              <w:spacing w:after="0" w:line="240" w:lineRule="auto"/>
              <w:rPr>
                <w:rFonts w:ascii="Arial" w:eastAsia="Times New Roman" w:hAnsi="Arial" w:cs="Arial"/>
                <w:color w:val="000000"/>
                <w:sz w:val="14"/>
                <w:szCs w:val="20"/>
                <w:lang w:eastAsia="en-GB"/>
              </w:rPr>
            </w:pPr>
          </w:p>
        </w:tc>
        <w:tc>
          <w:tcPr>
            <w:tcW w:w="372" w:type="dxa"/>
            <w:tcBorders>
              <w:top w:val="single" w:sz="4" w:space="0" w:color="auto"/>
              <w:left w:val="nil"/>
              <w:bottom w:val="single" w:sz="4" w:space="0" w:color="auto"/>
              <w:right w:val="single" w:sz="4" w:space="0" w:color="auto"/>
            </w:tcBorders>
            <w:shd w:val="clear" w:color="auto" w:fill="auto"/>
            <w:vAlign w:val="center"/>
          </w:tcPr>
          <w:p w:rsidR="00E94EFD" w:rsidRDefault="00E94EFD" w:rsidP="007E0D0A">
            <w:pPr>
              <w:spacing w:after="0" w:line="240" w:lineRule="auto"/>
              <w:rPr>
                <w:rFonts w:ascii="Arial" w:eastAsia="Times New Roman" w:hAnsi="Arial" w:cs="Arial"/>
                <w:color w:val="000000"/>
                <w:sz w:val="14"/>
                <w:szCs w:val="20"/>
                <w:lang w:eastAsia="en-GB"/>
              </w:rPr>
            </w:pPr>
          </w:p>
        </w:tc>
        <w:tc>
          <w:tcPr>
            <w:tcW w:w="372" w:type="dxa"/>
            <w:tcBorders>
              <w:top w:val="single" w:sz="4" w:space="0" w:color="auto"/>
              <w:left w:val="nil"/>
              <w:bottom w:val="single" w:sz="4" w:space="0" w:color="auto"/>
              <w:right w:val="single" w:sz="4" w:space="0" w:color="auto"/>
            </w:tcBorders>
            <w:shd w:val="clear" w:color="auto" w:fill="auto"/>
            <w:vAlign w:val="center"/>
          </w:tcPr>
          <w:p w:rsidR="00E94EFD" w:rsidRDefault="00E94EFD" w:rsidP="007E0D0A">
            <w:pPr>
              <w:spacing w:after="0" w:line="240" w:lineRule="auto"/>
              <w:rPr>
                <w:rFonts w:ascii="Arial" w:eastAsia="Times New Roman" w:hAnsi="Arial" w:cs="Arial"/>
                <w:color w:val="000000"/>
                <w:sz w:val="14"/>
                <w:szCs w:val="20"/>
                <w:lang w:eastAsia="en-GB"/>
              </w:rPr>
            </w:pPr>
          </w:p>
        </w:tc>
        <w:tc>
          <w:tcPr>
            <w:tcW w:w="372" w:type="dxa"/>
            <w:tcBorders>
              <w:top w:val="single" w:sz="4" w:space="0" w:color="auto"/>
              <w:left w:val="nil"/>
              <w:bottom w:val="single" w:sz="4" w:space="0" w:color="auto"/>
              <w:right w:val="single" w:sz="4" w:space="0" w:color="auto"/>
            </w:tcBorders>
            <w:shd w:val="clear" w:color="auto" w:fill="auto"/>
            <w:vAlign w:val="center"/>
          </w:tcPr>
          <w:p w:rsidR="00E94EFD" w:rsidRDefault="00E94EFD" w:rsidP="007E0D0A">
            <w:pPr>
              <w:spacing w:after="0" w:line="240" w:lineRule="auto"/>
              <w:rPr>
                <w:rFonts w:ascii="Arial" w:eastAsia="Times New Roman" w:hAnsi="Arial" w:cs="Arial"/>
                <w:color w:val="000000"/>
                <w:sz w:val="14"/>
                <w:szCs w:val="20"/>
                <w:lang w:eastAsia="en-GB"/>
              </w:rPr>
            </w:pPr>
          </w:p>
        </w:tc>
        <w:tc>
          <w:tcPr>
            <w:tcW w:w="380" w:type="dxa"/>
            <w:tcBorders>
              <w:top w:val="single" w:sz="4" w:space="0" w:color="auto"/>
              <w:left w:val="nil"/>
              <w:bottom w:val="single" w:sz="4" w:space="0" w:color="auto"/>
              <w:right w:val="single" w:sz="4" w:space="0" w:color="auto"/>
            </w:tcBorders>
            <w:shd w:val="clear" w:color="auto" w:fill="auto"/>
            <w:vAlign w:val="center"/>
          </w:tcPr>
          <w:p w:rsidR="00E94EFD" w:rsidRDefault="00E94EFD" w:rsidP="007E0D0A">
            <w:pPr>
              <w:spacing w:after="0" w:line="240" w:lineRule="auto"/>
              <w:rPr>
                <w:rFonts w:ascii="Arial" w:eastAsia="Times New Roman" w:hAnsi="Arial" w:cs="Arial"/>
                <w:color w:val="000000"/>
                <w:sz w:val="14"/>
                <w:szCs w:val="20"/>
                <w:lang w:eastAsia="en-GB"/>
              </w:rPr>
            </w:pPr>
          </w:p>
        </w:tc>
        <w:tc>
          <w:tcPr>
            <w:tcW w:w="372" w:type="dxa"/>
            <w:tcBorders>
              <w:top w:val="single" w:sz="4" w:space="0" w:color="auto"/>
              <w:left w:val="nil"/>
              <w:bottom w:val="single" w:sz="4" w:space="0" w:color="auto"/>
              <w:right w:val="single" w:sz="4" w:space="0" w:color="auto"/>
            </w:tcBorders>
            <w:shd w:val="clear" w:color="auto" w:fill="auto"/>
            <w:vAlign w:val="center"/>
          </w:tcPr>
          <w:p w:rsidR="00E94EFD" w:rsidRDefault="00E94EFD" w:rsidP="007E0D0A">
            <w:pPr>
              <w:spacing w:after="0" w:line="240" w:lineRule="auto"/>
              <w:rPr>
                <w:rFonts w:ascii="Arial" w:eastAsia="Times New Roman" w:hAnsi="Arial" w:cs="Arial"/>
                <w:color w:val="000000"/>
                <w:sz w:val="14"/>
                <w:szCs w:val="20"/>
                <w:lang w:eastAsia="en-GB"/>
              </w:rPr>
            </w:pPr>
          </w:p>
        </w:tc>
        <w:tc>
          <w:tcPr>
            <w:tcW w:w="372" w:type="dxa"/>
            <w:tcBorders>
              <w:top w:val="single" w:sz="4" w:space="0" w:color="auto"/>
              <w:left w:val="nil"/>
              <w:bottom w:val="single" w:sz="4" w:space="0" w:color="auto"/>
              <w:right w:val="single" w:sz="4" w:space="0" w:color="auto"/>
            </w:tcBorders>
            <w:shd w:val="clear" w:color="auto" w:fill="auto"/>
            <w:vAlign w:val="center"/>
          </w:tcPr>
          <w:p w:rsidR="00E94EFD" w:rsidRDefault="00E94EFD" w:rsidP="007E0D0A">
            <w:pPr>
              <w:spacing w:after="0" w:line="240" w:lineRule="auto"/>
              <w:rPr>
                <w:rFonts w:ascii="Arial" w:eastAsia="Times New Roman" w:hAnsi="Arial" w:cs="Arial"/>
                <w:color w:val="000000"/>
                <w:sz w:val="14"/>
                <w:szCs w:val="20"/>
                <w:lang w:eastAsia="en-GB"/>
              </w:rPr>
            </w:pPr>
          </w:p>
        </w:tc>
        <w:tc>
          <w:tcPr>
            <w:tcW w:w="372" w:type="dxa"/>
            <w:tcBorders>
              <w:top w:val="single" w:sz="4" w:space="0" w:color="auto"/>
              <w:left w:val="nil"/>
              <w:bottom w:val="single" w:sz="4" w:space="0" w:color="auto"/>
              <w:right w:val="single" w:sz="4" w:space="0" w:color="auto"/>
            </w:tcBorders>
            <w:shd w:val="clear" w:color="auto" w:fill="auto"/>
            <w:vAlign w:val="center"/>
          </w:tcPr>
          <w:p w:rsidR="00E94EFD" w:rsidRDefault="00E94EFD" w:rsidP="007E0D0A">
            <w:pPr>
              <w:spacing w:after="0" w:line="240" w:lineRule="auto"/>
              <w:rPr>
                <w:rFonts w:ascii="Arial" w:eastAsia="Times New Roman" w:hAnsi="Arial" w:cs="Arial"/>
                <w:color w:val="000000"/>
                <w:sz w:val="14"/>
                <w:szCs w:val="20"/>
                <w:lang w:eastAsia="en-GB"/>
              </w:rPr>
            </w:pPr>
          </w:p>
        </w:tc>
        <w:tc>
          <w:tcPr>
            <w:tcW w:w="372" w:type="dxa"/>
            <w:tcBorders>
              <w:top w:val="single" w:sz="4" w:space="0" w:color="auto"/>
              <w:left w:val="nil"/>
              <w:bottom w:val="single" w:sz="4" w:space="0" w:color="auto"/>
              <w:right w:val="single" w:sz="4" w:space="0" w:color="auto"/>
            </w:tcBorders>
            <w:shd w:val="clear" w:color="auto" w:fill="auto"/>
            <w:vAlign w:val="center"/>
          </w:tcPr>
          <w:p w:rsidR="00E94EFD" w:rsidRDefault="00E94EFD" w:rsidP="007E0D0A">
            <w:pPr>
              <w:spacing w:after="0" w:line="240" w:lineRule="auto"/>
              <w:rPr>
                <w:rFonts w:ascii="Arial" w:eastAsia="Times New Roman" w:hAnsi="Arial" w:cs="Arial"/>
                <w:color w:val="000000"/>
                <w:sz w:val="14"/>
                <w:szCs w:val="20"/>
                <w:lang w:eastAsia="en-GB"/>
              </w:rPr>
            </w:pPr>
          </w:p>
        </w:tc>
        <w:tc>
          <w:tcPr>
            <w:tcW w:w="372" w:type="dxa"/>
            <w:tcBorders>
              <w:top w:val="single" w:sz="4" w:space="0" w:color="auto"/>
              <w:left w:val="nil"/>
              <w:bottom w:val="single" w:sz="4" w:space="0" w:color="auto"/>
              <w:right w:val="single" w:sz="4" w:space="0" w:color="auto"/>
            </w:tcBorders>
            <w:shd w:val="clear" w:color="auto" w:fill="auto"/>
            <w:vAlign w:val="center"/>
          </w:tcPr>
          <w:p w:rsidR="00E94EFD" w:rsidRDefault="00E94EFD" w:rsidP="007E0D0A">
            <w:pPr>
              <w:spacing w:after="0" w:line="240" w:lineRule="auto"/>
              <w:rPr>
                <w:rFonts w:ascii="Arial" w:eastAsia="Times New Roman" w:hAnsi="Arial" w:cs="Arial"/>
                <w:color w:val="000000"/>
                <w:sz w:val="14"/>
                <w:szCs w:val="20"/>
                <w:lang w:eastAsia="en-GB"/>
              </w:rPr>
            </w:pPr>
          </w:p>
        </w:tc>
        <w:tc>
          <w:tcPr>
            <w:tcW w:w="372" w:type="dxa"/>
            <w:tcBorders>
              <w:top w:val="single" w:sz="4" w:space="0" w:color="auto"/>
              <w:left w:val="nil"/>
              <w:bottom w:val="single" w:sz="4" w:space="0" w:color="auto"/>
              <w:right w:val="single" w:sz="4" w:space="0" w:color="auto"/>
            </w:tcBorders>
            <w:shd w:val="clear" w:color="auto" w:fill="auto"/>
            <w:vAlign w:val="center"/>
          </w:tcPr>
          <w:p w:rsidR="00E94EFD" w:rsidRDefault="00E94EFD" w:rsidP="007E0D0A">
            <w:pPr>
              <w:spacing w:after="0" w:line="240" w:lineRule="auto"/>
              <w:rPr>
                <w:rFonts w:ascii="Arial" w:eastAsia="Times New Roman" w:hAnsi="Arial" w:cs="Arial"/>
                <w:color w:val="000000"/>
                <w:sz w:val="14"/>
                <w:szCs w:val="20"/>
                <w:lang w:eastAsia="en-GB"/>
              </w:rPr>
            </w:pPr>
          </w:p>
        </w:tc>
        <w:tc>
          <w:tcPr>
            <w:tcW w:w="372" w:type="dxa"/>
            <w:tcBorders>
              <w:top w:val="single" w:sz="4" w:space="0" w:color="auto"/>
              <w:left w:val="nil"/>
              <w:bottom w:val="single" w:sz="4" w:space="0" w:color="auto"/>
              <w:right w:val="single" w:sz="4" w:space="0" w:color="auto"/>
            </w:tcBorders>
            <w:shd w:val="clear" w:color="auto" w:fill="auto"/>
            <w:vAlign w:val="center"/>
          </w:tcPr>
          <w:p w:rsidR="00E94EFD" w:rsidRDefault="00E94EFD" w:rsidP="007E0D0A">
            <w:pPr>
              <w:spacing w:after="0" w:line="240" w:lineRule="auto"/>
              <w:rPr>
                <w:rFonts w:ascii="Arial" w:eastAsia="Times New Roman" w:hAnsi="Arial" w:cs="Arial"/>
                <w:color w:val="000000"/>
                <w:sz w:val="14"/>
                <w:szCs w:val="20"/>
                <w:lang w:eastAsia="en-GB"/>
              </w:rPr>
            </w:pPr>
          </w:p>
        </w:tc>
        <w:tc>
          <w:tcPr>
            <w:tcW w:w="3332" w:type="dxa"/>
            <w:tcBorders>
              <w:top w:val="single" w:sz="4" w:space="0" w:color="auto"/>
              <w:left w:val="nil"/>
              <w:bottom w:val="nil"/>
              <w:right w:val="single" w:sz="4" w:space="0" w:color="auto"/>
            </w:tcBorders>
            <w:shd w:val="clear" w:color="auto" w:fill="auto"/>
            <w:vAlign w:val="center"/>
          </w:tcPr>
          <w:p w:rsidR="00E94EFD" w:rsidRDefault="00E94EFD" w:rsidP="007E0D0A">
            <w:pPr>
              <w:spacing w:after="0" w:line="240" w:lineRule="auto"/>
              <w:jc w:val="center"/>
              <w:rPr>
                <w:rFonts w:ascii="Arial" w:eastAsia="Times New Roman" w:hAnsi="Arial" w:cs="Arial"/>
                <w:b/>
                <w:bCs/>
                <w:color w:val="000000"/>
                <w:sz w:val="14"/>
                <w:szCs w:val="20"/>
                <w:lang w:eastAsia="en-GB"/>
              </w:rPr>
            </w:pPr>
          </w:p>
        </w:tc>
        <w:tc>
          <w:tcPr>
            <w:tcW w:w="1384" w:type="dxa"/>
            <w:tcBorders>
              <w:top w:val="single" w:sz="8" w:space="0" w:color="auto"/>
              <w:left w:val="nil"/>
              <w:bottom w:val="nil"/>
              <w:right w:val="single" w:sz="8" w:space="0" w:color="auto"/>
            </w:tcBorders>
            <w:shd w:val="clear" w:color="000000" w:fill="FFFFFF"/>
            <w:vAlign w:val="center"/>
          </w:tcPr>
          <w:p w:rsidR="00E94EFD" w:rsidRPr="00E66E27" w:rsidRDefault="00E94EFD" w:rsidP="007E0D0A">
            <w:pPr>
              <w:spacing w:after="0" w:line="240" w:lineRule="auto"/>
              <w:jc w:val="center"/>
              <w:rPr>
                <w:rFonts w:ascii="Arial" w:eastAsia="Times New Roman" w:hAnsi="Arial" w:cs="Arial"/>
                <w:color w:val="000000"/>
                <w:sz w:val="14"/>
                <w:szCs w:val="14"/>
                <w:lang w:eastAsia="en-GB"/>
              </w:rPr>
            </w:pPr>
          </w:p>
        </w:tc>
      </w:tr>
      <w:tr w:rsidR="00D1292C" w:rsidRPr="00D4199C" w:rsidTr="00D1292C">
        <w:trPr>
          <w:trHeight w:val="612"/>
        </w:trPr>
        <w:tc>
          <w:tcPr>
            <w:tcW w:w="1376" w:type="dxa"/>
            <w:tcBorders>
              <w:top w:val="single" w:sz="8" w:space="0" w:color="auto"/>
              <w:left w:val="single" w:sz="8" w:space="0" w:color="auto"/>
              <w:bottom w:val="nil"/>
              <w:right w:val="nil"/>
            </w:tcBorders>
            <w:shd w:val="clear" w:color="auto" w:fill="FFFFFF" w:themeFill="background1"/>
            <w:vAlign w:val="center"/>
          </w:tcPr>
          <w:p w:rsidR="00D1292C" w:rsidRPr="00D1292C" w:rsidRDefault="00D1292C">
            <w:pPr>
              <w:rPr>
                <w:rFonts w:cstheme="minorHAnsi"/>
                <w:color w:val="000000"/>
                <w:sz w:val="16"/>
                <w:szCs w:val="20"/>
              </w:rPr>
            </w:pPr>
            <w:r w:rsidRPr="00D1292C">
              <w:rPr>
                <w:rFonts w:cstheme="minorHAnsi"/>
                <w:b/>
                <w:bCs/>
                <w:color w:val="000000"/>
                <w:sz w:val="16"/>
                <w:szCs w:val="20"/>
              </w:rPr>
              <w:t>BU012</w:t>
            </w:r>
            <w:r w:rsidRPr="00D1292C">
              <w:rPr>
                <w:rFonts w:cstheme="minorHAnsi"/>
                <w:color w:val="000000"/>
                <w:sz w:val="16"/>
                <w:szCs w:val="20"/>
              </w:rPr>
              <w:t xml:space="preserve"> Richard Thornton´s CE Primary School, Burton in Lonsdale 0.74ha.</w:t>
            </w:r>
            <w:r w:rsidRPr="00D1292C">
              <w:rPr>
                <w:rFonts w:cstheme="minorHAnsi"/>
                <w:color w:val="000000"/>
                <w:sz w:val="16"/>
                <w:szCs w:val="20"/>
              </w:rPr>
              <w:br w:type="page"/>
            </w:r>
          </w:p>
        </w:tc>
        <w:tc>
          <w:tcPr>
            <w:tcW w:w="32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D1292C" w:rsidRPr="00D1292C" w:rsidRDefault="00D1292C">
            <w:pPr>
              <w:jc w:val="center"/>
              <w:rPr>
                <w:rFonts w:cstheme="minorHAnsi"/>
                <w:color w:val="000000"/>
                <w:sz w:val="16"/>
                <w:szCs w:val="20"/>
              </w:rPr>
            </w:pPr>
            <w:r w:rsidRPr="00D1292C">
              <w:rPr>
                <w:rFonts w:cstheme="minorHAnsi"/>
                <w:color w:val="000000"/>
                <w:sz w:val="16"/>
                <w:szCs w:val="20"/>
              </w:rPr>
              <w:t>0</w:t>
            </w:r>
          </w:p>
        </w:tc>
        <w:tc>
          <w:tcPr>
            <w:tcW w:w="329"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1292C" w:rsidRPr="00D1292C" w:rsidRDefault="00D1292C">
            <w:pPr>
              <w:jc w:val="center"/>
              <w:rPr>
                <w:rFonts w:cstheme="minorHAnsi"/>
                <w:color w:val="000000"/>
                <w:sz w:val="16"/>
                <w:szCs w:val="20"/>
              </w:rPr>
            </w:pPr>
            <w:r w:rsidRPr="00D1292C">
              <w:rPr>
                <w:rFonts w:cstheme="minorHAnsi"/>
                <w:color w:val="000000"/>
                <w:sz w:val="16"/>
                <w:szCs w:val="20"/>
              </w:rPr>
              <w:t>0</w:t>
            </w:r>
          </w:p>
        </w:tc>
        <w:tc>
          <w:tcPr>
            <w:tcW w:w="329" w:type="dxa"/>
            <w:tcBorders>
              <w:top w:val="single" w:sz="4" w:space="0" w:color="auto"/>
              <w:left w:val="nil"/>
              <w:bottom w:val="single" w:sz="4" w:space="0" w:color="auto"/>
              <w:right w:val="single" w:sz="4" w:space="0" w:color="auto"/>
            </w:tcBorders>
            <w:shd w:val="clear" w:color="auto" w:fill="C2D69B" w:themeFill="accent3" w:themeFillTint="99"/>
            <w:vAlign w:val="center"/>
          </w:tcPr>
          <w:p w:rsidR="00D1292C" w:rsidRPr="00D1292C" w:rsidRDefault="00D1292C">
            <w:pPr>
              <w:jc w:val="center"/>
              <w:rPr>
                <w:rFonts w:cstheme="minorHAnsi"/>
                <w:color w:val="000000"/>
                <w:sz w:val="16"/>
                <w:szCs w:val="20"/>
              </w:rPr>
            </w:pPr>
            <w:r w:rsidRPr="00D1292C">
              <w:rPr>
                <w:rFonts w:cstheme="minorHAnsi"/>
                <w:color w:val="000000"/>
                <w:sz w:val="16"/>
                <w:szCs w:val="20"/>
              </w:rPr>
              <w:t>+</w:t>
            </w:r>
          </w:p>
        </w:tc>
        <w:tc>
          <w:tcPr>
            <w:tcW w:w="329" w:type="dxa"/>
            <w:tcBorders>
              <w:top w:val="single" w:sz="4" w:space="0" w:color="auto"/>
              <w:left w:val="nil"/>
              <w:bottom w:val="single" w:sz="4" w:space="0" w:color="auto"/>
              <w:right w:val="single" w:sz="4" w:space="0" w:color="auto"/>
            </w:tcBorders>
            <w:shd w:val="clear" w:color="auto" w:fill="C2D69B" w:themeFill="accent3" w:themeFillTint="99"/>
            <w:vAlign w:val="center"/>
          </w:tcPr>
          <w:p w:rsidR="00D1292C" w:rsidRPr="00D1292C" w:rsidRDefault="00D1292C">
            <w:pPr>
              <w:jc w:val="center"/>
              <w:rPr>
                <w:rFonts w:cstheme="minorHAnsi"/>
                <w:color w:val="000000"/>
                <w:sz w:val="16"/>
                <w:szCs w:val="20"/>
              </w:rPr>
            </w:pPr>
            <w:r w:rsidRPr="00D1292C">
              <w:rPr>
                <w:rFonts w:cstheme="minorHAnsi"/>
                <w:color w:val="000000"/>
                <w:sz w:val="16"/>
                <w:szCs w:val="20"/>
              </w:rPr>
              <w:t>+</w:t>
            </w:r>
          </w:p>
        </w:tc>
        <w:tc>
          <w:tcPr>
            <w:tcW w:w="329" w:type="dxa"/>
            <w:tcBorders>
              <w:top w:val="single" w:sz="4" w:space="0" w:color="auto"/>
              <w:left w:val="nil"/>
              <w:bottom w:val="single" w:sz="4" w:space="0" w:color="auto"/>
              <w:right w:val="single" w:sz="4" w:space="0" w:color="auto"/>
            </w:tcBorders>
            <w:shd w:val="clear" w:color="auto" w:fill="C2D69B" w:themeFill="accent3" w:themeFillTint="99"/>
            <w:vAlign w:val="center"/>
          </w:tcPr>
          <w:p w:rsidR="00D1292C" w:rsidRPr="00D1292C" w:rsidRDefault="00D1292C">
            <w:pPr>
              <w:jc w:val="center"/>
              <w:rPr>
                <w:rFonts w:cstheme="minorHAnsi"/>
                <w:color w:val="000000"/>
                <w:sz w:val="16"/>
                <w:szCs w:val="20"/>
              </w:rPr>
            </w:pPr>
            <w:r w:rsidRPr="00D1292C">
              <w:rPr>
                <w:rFonts w:cstheme="minorHAnsi"/>
                <w:color w:val="000000"/>
                <w:sz w:val="16"/>
                <w:szCs w:val="20"/>
              </w:rPr>
              <w:t>+</w:t>
            </w:r>
          </w:p>
        </w:tc>
        <w:tc>
          <w:tcPr>
            <w:tcW w:w="329" w:type="dxa"/>
            <w:tcBorders>
              <w:top w:val="single" w:sz="4" w:space="0" w:color="auto"/>
              <w:left w:val="nil"/>
              <w:bottom w:val="single" w:sz="4" w:space="0" w:color="auto"/>
              <w:right w:val="single" w:sz="4" w:space="0" w:color="auto"/>
            </w:tcBorders>
            <w:shd w:val="clear" w:color="auto" w:fill="C2D69B" w:themeFill="accent3" w:themeFillTint="99"/>
            <w:vAlign w:val="center"/>
          </w:tcPr>
          <w:p w:rsidR="00D1292C" w:rsidRPr="00D1292C" w:rsidRDefault="00D1292C">
            <w:pPr>
              <w:jc w:val="center"/>
              <w:rPr>
                <w:rFonts w:cstheme="minorHAnsi"/>
                <w:color w:val="000000"/>
                <w:sz w:val="16"/>
                <w:szCs w:val="20"/>
              </w:rPr>
            </w:pPr>
            <w:r w:rsidRPr="00D1292C">
              <w:rPr>
                <w:rFonts w:cstheme="minorHAnsi"/>
                <w:color w:val="000000"/>
                <w:sz w:val="16"/>
                <w:szCs w:val="20"/>
              </w:rPr>
              <w:t>+</w:t>
            </w:r>
          </w:p>
        </w:tc>
        <w:tc>
          <w:tcPr>
            <w:tcW w:w="329"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1292C" w:rsidRPr="00D1292C" w:rsidRDefault="00D1292C">
            <w:pPr>
              <w:jc w:val="center"/>
              <w:rPr>
                <w:rFonts w:cstheme="minorHAnsi"/>
                <w:color w:val="000000"/>
                <w:sz w:val="16"/>
                <w:szCs w:val="20"/>
              </w:rPr>
            </w:pPr>
            <w:r w:rsidRPr="00D1292C">
              <w:rPr>
                <w:rFonts w:cstheme="minorHAnsi"/>
                <w:color w:val="000000"/>
                <w:sz w:val="16"/>
                <w:szCs w:val="20"/>
              </w:rPr>
              <w:t>0</w:t>
            </w:r>
          </w:p>
        </w:tc>
        <w:tc>
          <w:tcPr>
            <w:tcW w:w="332"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1292C" w:rsidRPr="00D1292C" w:rsidRDefault="00D1292C">
            <w:pPr>
              <w:jc w:val="center"/>
              <w:rPr>
                <w:rFonts w:cstheme="minorHAnsi"/>
                <w:color w:val="000000"/>
                <w:sz w:val="16"/>
                <w:szCs w:val="20"/>
              </w:rPr>
            </w:pPr>
            <w:r w:rsidRPr="00D1292C">
              <w:rPr>
                <w:rFonts w:cstheme="minorHAnsi"/>
                <w:color w:val="000000"/>
                <w:sz w:val="16"/>
                <w:szCs w:val="20"/>
              </w:rPr>
              <w:t>0</w:t>
            </w:r>
          </w:p>
        </w:tc>
        <w:tc>
          <w:tcPr>
            <w:tcW w:w="380" w:type="dxa"/>
            <w:tcBorders>
              <w:top w:val="single" w:sz="4" w:space="0" w:color="auto"/>
              <w:left w:val="nil"/>
              <w:bottom w:val="single" w:sz="4" w:space="0" w:color="auto"/>
              <w:right w:val="single" w:sz="4" w:space="0" w:color="auto"/>
            </w:tcBorders>
            <w:shd w:val="clear" w:color="auto" w:fill="76923C" w:themeFill="accent3" w:themeFillShade="BF"/>
            <w:vAlign w:val="center"/>
          </w:tcPr>
          <w:p w:rsidR="00D1292C" w:rsidRPr="00D1292C" w:rsidRDefault="00D1292C">
            <w:pPr>
              <w:jc w:val="center"/>
              <w:rPr>
                <w:rFonts w:cstheme="minorHAnsi"/>
                <w:color w:val="000000"/>
                <w:sz w:val="16"/>
                <w:szCs w:val="20"/>
              </w:rPr>
            </w:pPr>
            <w:r w:rsidRPr="00D1292C">
              <w:rPr>
                <w:rFonts w:cstheme="minorHAnsi"/>
                <w:color w:val="000000"/>
                <w:sz w:val="16"/>
                <w:szCs w:val="20"/>
              </w:rPr>
              <w:t>++</w:t>
            </w:r>
          </w:p>
        </w:tc>
        <w:tc>
          <w:tcPr>
            <w:tcW w:w="372"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1292C" w:rsidRPr="00D1292C" w:rsidRDefault="00D1292C">
            <w:pPr>
              <w:jc w:val="center"/>
              <w:rPr>
                <w:rFonts w:cstheme="minorHAnsi"/>
                <w:color w:val="000000"/>
                <w:sz w:val="16"/>
                <w:szCs w:val="20"/>
              </w:rPr>
            </w:pPr>
            <w:r w:rsidRPr="00D1292C">
              <w:rPr>
                <w:rFonts w:cstheme="minorHAnsi"/>
                <w:color w:val="000000"/>
                <w:sz w:val="16"/>
                <w:szCs w:val="20"/>
              </w:rPr>
              <w:t>0</w:t>
            </w:r>
          </w:p>
        </w:tc>
        <w:tc>
          <w:tcPr>
            <w:tcW w:w="372" w:type="dxa"/>
            <w:tcBorders>
              <w:top w:val="single" w:sz="4" w:space="0" w:color="auto"/>
              <w:left w:val="nil"/>
              <w:bottom w:val="single" w:sz="4" w:space="0" w:color="auto"/>
              <w:right w:val="single" w:sz="4" w:space="0" w:color="auto"/>
            </w:tcBorders>
            <w:shd w:val="clear" w:color="auto" w:fill="C2D69B" w:themeFill="accent3" w:themeFillTint="99"/>
            <w:vAlign w:val="center"/>
          </w:tcPr>
          <w:p w:rsidR="00D1292C" w:rsidRPr="00D1292C" w:rsidRDefault="00D1292C">
            <w:pPr>
              <w:jc w:val="center"/>
              <w:rPr>
                <w:rFonts w:cstheme="minorHAnsi"/>
                <w:color w:val="000000"/>
                <w:sz w:val="16"/>
                <w:szCs w:val="20"/>
              </w:rPr>
            </w:pPr>
            <w:r w:rsidRPr="00D1292C">
              <w:rPr>
                <w:rFonts w:cstheme="minorHAnsi"/>
                <w:color w:val="000000"/>
                <w:sz w:val="16"/>
                <w:szCs w:val="20"/>
              </w:rPr>
              <w:t>+</w:t>
            </w:r>
          </w:p>
        </w:tc>
        <w:tc>
          <w:tcPr>
            <w:tcW w:w="372"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1292C" w:rsidRPr="00D1292C" w:rsidRDefault="00D1292C">
            <w:pPr>
              <w:jc w:val="center"/>
              <w:rPr>
                <w:rFonts w:cstheme="minorHAnsi"/>
                <w:color w:val="000000"/>
                <w:sz w:val="16"/>
                <w:szCs w:val="20"/>
              </w:rPr>
            </w:pPr>
            <w:r w:rsidRPr="00D1292C">
              <w:rPr>
                <w:rFonts w:cstheme="minorHAnsi"/>
                <w:color w:val="000000"/>
                <w:sz w:val="16"/>
                <w:szCs w:val="20"/>
              </w:rPr>
              <w:t>0</w:t>
            </w:r>
          </w:p>
        </w:tc>
        <w:tc>
          <w:tcPr>
            <w:tcW w:w="380"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1292C" w:rsidRPr="00D1292C" w:rsidRDefault="00D1292C">
            <w:pPr>
              <w:jc w:val="center"/>
              <w:rPr>
                <w:rFonts w:cstheme="minorHAnsi"/>
                <w:color w:val="000000"/>
                <w:sz w:val="16"/>
                <w:szCs w:val="20"/>
              </w:rPr>
            </w:pPr>
            <w:r w:rsidRPr="00D1292C">
              <w:rPr>
                <w:rFonts w:cstheme="minorHAnsi"/>
                <w:color w:val="000000"/>
                <w:sz w:val="16"/>
                <w:szCs w:val="20"/>
              </w:rPr>
              <w:t>0</w:t>
            </w:r>
          </w:p>
        </w:tc>
        <w:tc>
          <w:tcPr>
            <w:tcW w:w="372"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D1292C" w:rsidRPr="00D1292C" w:rsidRDefault="00D1292C">
            <w:pPr>
              <w:jc w:val="center"/>
              <w:rPr>
                <w:rFonts w:cstheme="minorHAnsi"/>
                <w:color w:val="000000"/>
                <w:sz w:val="16"/>
                <w:szCs w:val="20"/>
              </w:rPr>
            </w:pPr>
            <w:r w:rsidRPr="00D1292C">
              <w:rPr>
                <w:rFonts w:cstheme="minorHAnsi"/>
                <w:color w:val="000000"/>
                <w:sz w:val="16"/>
                <w:szCs w:val="20"/>
              </w:rPr>
              <w:t>0</w:t>
            </w:r>
          </w:p>
        </w:tc>
        <w:tc>
          <w:tcPr>
            <w:tcW w:w="372" w:type="dxa"/>
            <w:tcBorders>
              <w:top w:val="single" w:sz="4" w:space="0" w:color="auto"/>
              <w:left w:val="nil"/>
              <w:bottom w:val="single" w:sz="4" w:space="0" w:color="auto"/>
              <w:right w:val="single" w:sz="4" w:space="0" w:color="auto"/>
            </w:tcBorders>
            <w:shd w:val="clear" w:color="auto" w:fill="C2D69B" w:themeFill="accent3" w:themeFillTint="99"/>
            <w:vAlign w:val="center"/>
          </w:tcPr>
          <w:p w:rsidR="00D1292C" w:rsidRPr="00D1292C" w:rsidRDefault="00D1292C">
            <w:pPr>
              <w:jc w:val="center"/>
              <w:rPr>
                <w:rFonts w:cstheme="minorHAnsi"/>
                <w:color w:val="000000"/>
                <w:sz w:val="16"/>
                <w:szCs w:val="20"/>
              </w:rPr>
            </w:pPr>
            <w:r w:rsidRPr="00D1292C">
              <w:rPr>
                <w:rFonts w:cstheme="minorHAnsi"/>
                <w:color w:val="000000"/>
                <w:sz w:val="16"/>
                <w:szCs w:val="20"/>
              </w:rPr>
              <w:t>+</w:t>
            </w:r>
          </w:p>
        </w:tc>
        <w:tc>
          <w:tcPr>
            <w:tcW w:w="372" w:type="dxa"/>
            <w:tcBorders>
              <w:top w:val="single" w:sz="4" w:space="0" w:color="auto"/>
              <w:left w:val="nil"/>
              <w:bottom w:val="single" w:sz="4" w:space="0" w:color="auto"/>
              <w:right w:val="single" w:sz="4" w:space="0" w:color="auto"/>
            </w:tcBorders>
            <w:shd w:val="clear" w:color="auto" w:fill="C2D69B" w:themeFill="accent3" w:themeFillTint="99"/>
            <w:vAlign w:val="center"/>
          </w:tcPr>
          <w:p w:rsidR="00D1292C" w:rsidRPr="00D1292C" w:rsidRDefault="00D1292C">
            <w:pPr>
              <w:jc w:val="center"/>
              <w:rPr>
                <w:rFonts w:cstheme="minorHAnsi"/>
                <w:color w:val="000000"/>
                <w:sz w:val="16"/>
                <w:szCs w:val="20"/>
              </w:rPr>
            </w:pPr>
            <w:r w:rsidRPr="00D1292C">
              <w:rPr>
                <w:rFonts w:cstheme="minorHAnsi"/>
                <w:color w:val="000000"/>
                <w:sz w:val="16"/>
                <w:szCs w:val="20"/>
              </w:rPr>
              <w:t>+</w:t>
            </w:r>
          </w:p>
        </w:tc>
        <w:tc>
          <w:tcPr>
            <w:tcW w:w="372" w:type="dxa"/>
            <w:tcBorders>
              <w:top w:val="single" w:sz="4" w:space="0" w:color="auto"/>
              <w:left w:val="nil"/>
              <w:bottom w:val="single" w:sz="4" w:space="0" w:color="auto"/>
              <w:right w:val="single" w:sz="4" w:space="0" w:color="auto"/>
            </w:tcBorders>
            <w:shd w:val="clear" w:color="auto" w:fill="C2D69B" w:themeFill="accent3" w:themeFillTint="99"/>
            <w:vAlign w:val="center"/>
          </w:tcPr>
          <w:p w:rsidR="00D1292C" w:rsidRPr="00D1292C" w:rsidRDefault="00D1292C">
            <w:pPr>
              <w:jc w:val="center"/>
              <w:rPr>
                <w:rFonts w:cstheme="minorHAnsi"/>
                <w:color w:val="000000"/>
                <w:sz w:val="16"/>
                <w:szCs w:val="20"/>
              </w:rPr>
            </w:pPr>
            <w:r w:rsidRPr="00D1292C">
              <w:rPr>
                <w:rFonts w:cstheme="minorHAnsi"/>
                <w:color w:val="000000"/>
                <w:sz w:val="16"/>
                <w:szCs w:val="20"/>
              </w:rPr>
              <w:t>+</w:t>
            </w:r>
          </w:p>
        </w:tc>
        <w:tc>
          <w:tcPr>
            <w:tcW w:w="372" w:type="dxa"/>
            <w:tcBorders>
              <w:top w:val="single" w:sz="4" w:space="0" w:color="auto"/>
              <w:left w:val="nil"/>
              <w:bottom w:val="single" w:sz="4" w:space="0" w:color="auto"/>
              <w:right w:val="single" w:sz="4" w:space="0" w:color="auto"/>
            </w:tcBorders>
            <w:shd w:val="clear" w:color="auto" w:fill="C2D69B" w:themeFill="accent3" w:themeFillTint="99"/>
            <w:vAlign w:val="center"/>
          </w:tcPr>
          <w:p w:rsidR="00D1292C" w:rsidRPr="00D1292C" w:rsidRDefault="00D1292C">
            <w:pPr>
              <w:jc w:val="center"/>
              <w:rPr>
                <w:rFonts w:cstheme="minorHAnsi"/>
                <w:color w:val="000000"/>
                <w:sz w:val="16"/>
                <w:szCs w:val="20"/>
              </w:rPr>
            </w:pPr>
            <w:r w:rsidRPr="00D1292C">
              <w:rPr>
                <w:rFonts w:cstheme="minorHAnsi"/>
                <w:color w:val="000000"/>
                <w:sz w:val="16"/>
                <w:szCs w:val="20"/>
              </w:rPr>
              <w:t>+</w:t>
            </w:r>
          </w:p>
        </w:tc>
        <w:tc>
          <w:tcPr>
            <w:tcW w:w="372" w:type="dxa"/>
            <w:tcBorders>
              <w:top w:val="single" w:sz="4" w:space="0" w:color="auto"/>
              <w:left w:val="nil"/>
              <w:bottom w:val="single" w:sz="4" w:space="0" w:color="auto"/>
              <w:right w:val="single" w:sz="4" w:space="0" w:color="auto"/>
            </w:tcBorders>
            <w:shd w:val="clear" w:color="auto" w:fill="C2D69B" w:themeFill="accent3" w:themeFillTint="99"/>
            <w:vAlign w:val="center"/>
          </w:tcPr>
          <w:p w:rsidR="00D1292C" w:rsidRPr="00D1292C" w:rsidRDefault="00D1292C">
            <w:pPr>
              <w:jc w:val="center"/>
              <w:rPr>
                <w:rFonts w:cstheme="minorHAnsi"/>
                <w:color w:val="000000"/>
                <w:sz w:val="16"/>
                <w:szCs w:val="20"/>
              </w:rPr>
            </w:pPr>
            <w:r w:rsidRPr="00D1292C">
              <w:rPr>
                <w:rFonts w:cstheme="minorHAnsi"/>
                <w:color w:val="000000"/>
                <w:sz w:val="16"/>
                <w:szCs w:val="20"/>
              </w:rPr>
              <w:t>+</w:t>
            </w:r>
          </w:p>
        </w:tc>
        <w:tc>
          <w:tcPr>
            <w:tcW w:w="372" w:type="dxa"/>
            <w:tcBorders>
              <w:top w:val="single" w:sz="4" w:space="0" w:color="auto"/>
              <w:left w:val="nil"/>
              <w:bottom w:val="single" w:sz="4" w:space="0" w:color="auto"/>
              <w:right w:val="single" w:sz="4" w:space="0" w:color="auto"/>
            </w:tcBorders>
            <w:shd w:val="clear" w:color="auto" w:fill="D99594" w:themeFill="accent2" w:themeFillTint="99"/>
            <w:vAlign w:val="center"/>
          </w:tcPr>
          <w:p w:rsidR="00D1292C" w:rsidRPr="00D1292C" w:rsidRDefault="00D1292C">
            <w:pPr>
              <w:jc w:val="center"/>
              <w:rPr>
                <w:rFonts w:cstheme="minorHAnsi"/>
                <w:color w:val="000000"/>
                <w:sz w:val="16"/>
                <w:szCs w:val="20"/>
              </w:rPr>
            </w:pPr>
            <w:r w:rsidRPr="00D1292C">
              <w:rPr>
                <w:rFonts w:cstheme="minorHAnsi"/>
                <w:color w:val="000000"/>
                <w:sz w:val="16"/>
                <w:szCs w:val="20"/>
              </w:rPr>
              <w:t>-</w:t>
            </w:r>
          </w:p>
        </w:tc>
        <w:tc>
          <w:tcPr>
            <w:tcW w:w="3332" w:type="dxa"/>
            <w:tcBorders>
              <w:top w:val="single" w:sz="4" w:space="0" w:color="auto"/>
              <w:left w:val="nil"/>
              <w:bottom w:val="nil"/>
              <w:right w:val="single" w:sz="4" w:space="0" w:color="auto"/>
            </w:tcBorders>
            <w:shd w:val="clear" w:color="auto" w:fill="FFFFFF" w:themeFill="background1"/>
            <w:vAlign w:val="center"/>
          </w:tcPr>
          <w:p w:rsidR="00D1292C" w:rsidRPr="00D1292C" w:rsidRDefault="00D1292C">
            <w:pPr>
              <w:rPr>
                <w:rFonts w:cstheme="minorHAnsi"/>
                <w:b/>
                <w:bCs/>
                <w:color w:val="000000"/>
                <w:sz w:val="16"/>
                <w:szCs w:val="20"/>
              </w:rPr>
            </w:pPr>
            <w:r w:rsidRPr="00D1292C">
              <w:rPr>
                <w:rFonts w:cstheme="minorHAnsi"/>
                <w:b/>
                <w:bCs/>
                <w:color w:val="000000"/>
                <w:sz w:val="16"/>
                <w:szCs w:val="20"/>
              </w:rPr>
              <w:t>Level 3:</w:t>
            </w:r>
            <w:r w:rsidRPr="00D1292C">
              <w:rPr>
                <w:rFonts w:cstheme="minorHAnsi"/>
                <w:color w:val="000000"/>
                <w:sz w:val="16"/>
                <w:szCs w:val="20"/>
              </w:rPr>
              <w:t xml:space="preserve"> The site is located on the edge of the settlement, but it is a brownfield site which has good links to the centre of Burton in Lonsdale. Access is acceptable from southern frontage but the access road would need widening within site. Acceptable from south east corner but roadside wall will require setting back and may be listed. This site is wholly within Flood Zone 1 and has no concerns regarding surface water flooding. The site plays no contribution to the character and appearance of the area within the CA appraisals, however there is a Grade II Listed Building on site. The Heritage Impact Assessments undertaken in October 2016 identify that the school is a heritage asset of High Heritage Significance and the site </w:t>
            </w:r>
            <w:proofErr w:type="gramStart"/>
            <w:r w:rsidRPr="00D1292C">
              <w:rPr>
                <w:rFonts w:cstheme="minorHAnsi"/>
                <w:color w:val="000000"/>
                <w:sz w:val="16"/>
                <w:szCs w:val="20"/>
              </w:rPr>
              <w:t>is  within</w:t>
            </w:r>
            <w:proofErr w:type="gramEnd"/>
            <w:r w:rsidRPr="00D1292C">
              <w:rPr>
                <w:rFonts w:cstheme="minorHAnsi"/>
                <w:color w:val="000000"/>
                <w:sz w:val="16"/>
                <w:szCs w:val="20"/>
              </w:rPr>
              <w:t xml:space="preserve"> the Burton in Lonsdale Conservation Area, this has a Medium Heritage Significance. Land to the west of the Conservation Area and surrounding the school do not make a significant contribution to the setting or character of the Conservation Area. However, </w:t>
            </w:r>
            <w:r w:rsidRPr="00D1292C">
              <w:rPr>
                <w:rFonts w:cstheme="minorHAnsi"/>
                <w:color w:val="000000"/>
                <w:sz w:val="16"/>
                <w:szCs w:val="20"/>
              </w:rPr>
              <w:lastRenderedPageBreak/>
              <w:t xml:space="preserve">the open fields in the foreground do provide an important rural setting to the historic core and provide highly significant dynamic views.  Any development of this site must retain and restore the original building and its formal setting. The school itself has potential for conversion to residential use in a way which would have a Large Beneficial Impact on the heritage asset by ensuring its conservation, long-term usage and maintenance. Any development in front (to the N, E and S) of the buildings would have Large Adverse Impact on views of the school building. The open land at the rear (W) has a low historical and visual relationship with the school and only makes a Low Contribution to its setting. </w:t>
            </w:r>
          </w:p>
        </w:tc>
        <w:tc>
          <w:tcPr>
            <w:tcW w:w="1384" w:type="dxa"/>
            <w:tcBorders>
              <w:top w:val="single" w:sz="8" w:space="0" w:color="auto"/>
              <w:left w:val="nil"/>
              <w:bottom w:val="nil"/>
              <w:right w:val="single" w:sz="8" w:space="0" w:color="auto"/>
            </w:tcBorders>
            <w:shd w:val="clear" w:color="auto" w:fill="FFFFFF" w:themeFill="background1"/>
            <w:vAlign w:val="center"/>
          </w:tcPr>
          <w:p w:rsidR="00D1292C" w:rsidRPr="00D1292C" w:rsidRDefault="00D1292C">
            <w:pPr>
              <w:jc w:val="center"/>
              <w:rPr>
                <w:rFonts w:cstheme="minorHAnsi"/>
                <w:color w:val="000000"/>
                <w:sz w:val="16"/>
                <w:szCs w:val="20"/>
              </w:rPr>
            </w:pPr>
            <w:r w:rsidRPr="00D1292C">
              <w:rPr>
                <w:rFonts w:cstheme="minorHAnsi"/>
                <w:color w:val="000000"/>
                <w:sz w:val="16"/>
                <w:szCs w:val="20"/>
              </w:rPr>
              <w:lastRenderedPageBreak/>
              <w:t>5a, 5b, 7, 9</w:t>
            </w:r>
          </w:p>
        </w:tc>
      </w:tr>
    </w:tbl>
    <w:p w:rsidR="00CD432F" w:rsidRDefault="00CD432F"/>
    <w:p w:rsidR="00E94EFD" w:rsidRDefault="00E94EFD" w:rsidP="00F62E2A">
      <w:pPr>
        <w:jc w:val="both"/>
        <w:rPr>
          <w:b/>
          <w:i/>
          <w:highlight w:val="yellow"/>
        </w:rPr>
      </w:pPr>
    </w:p>
    <w:p w:rsidR="00E94EFD" w:rsidRDefault="00E94EFD" w:rsidP="00F62E2A">
      <w:pPr>
        <w:jc w:val="both"/>
        <w:rPr>
          <w:b/>
          <w:i/>
          <w:highlight w:val="yellow"/>
        </w:rPr>
      </w:pPr>
    </w:p>
    <w:p w:rsidR="00E94EFD" w:rsidRDefault="00E94EFD" w:rsidP="00F62E2A">
      <w:pPr>
        <w:jc w:val="both"/>
        <w:rPr>
          <w:b/>
          <w:i/>
          <w:highlight w:val="yellow"/>
        </w:rPr>
      </w:pPr>
    </w:p>
    <w:p w:rsidR="00E94EFD" w:rsidRPr="002C7E39" w:rsidRDefault="00E94EFD" w:rsidP="00F62E2A">
      <w:pPr>
        <w:jc w:val="both"/>
        <w:rPr>
          <w:b/>
          <w:i/>
          <w:highlight w:val="yellow"/>
        </w:rPr>
      </w:pPr>
    </w:p>
    <w:p w:rsidR="00BC197E" w:rsidRDefault="00BC197E" w:rsidP="00A64A60">
      <w:pPr>
        <w:jc w:val="both"/>
        <w:rPr>
          <w:b/>
          <w:i/>
        </w:rPr>
      </w:pPr>
    </w:p>
    <w:p w:rsidR="00BC197E" w:rsidRDefault="00BC197E" w:rsidP="00A64A60">
      <w:pPr>
        <w:jc w:val="both"/>
        <w:rPr>
          <w:b/>
          <w:i/>
        </w:rPr>
      </w:pPr>
    </w:p>
    <w:p w:rsidR="0092329A" w:rsidRDefault="0092329A" w:rsidP="00A64A60">
      <w:pPr>
        <w:jc w:val="both"/>
        <w:rPr>
          <w:b/>
          <w:i/>
        </w:rPr>
      </w:pPr>
    </w:p>
    <w:p w:rsidR="00A64A60" w:rsidRPr="008945B2" w:rsidRDefault="00A64A60" w:rsidP="00A64A60">
      <w:pPr>
        <w:jc w:val="both"/>
      </w:pPr>
      <w:r w:rsidRPr="00C1109B">
        <w:rPr>
          <w:b/>
          <w:i/>
        </w:rPr>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t xml:space="preserve"> (with mitigation measures and recommendations). The site i</w:t>
      </w:r>
      <w:r w:rsidRPr="00C1109B">
        <w:t>s a candidate for the Pr</w:t>
      </w:r>
      <w:r>
        <w:t xml:space="preserve">eferred Sites list for Burton in Lonsdale, subject to Stage 2 analysis below, and also a possible comparison of the site’s merits with other sustainable sites in Burton in Lonsdale if a surplus of sites exists. </w:t>
      </w:r>
    </w:p>
    <w:p w:rsidR="00E32970" w:rsidRDefault="00E32970" w:rsidP="00E32970">
      <w:pPr>
        <w:rPr>
          <w:b/>
          <w:sz w:val="24"/>
          <w:szCs w:val="24"/>
          <w:u w:val="single"/>
        </w:rPr>
      </w:pPr>
    </w:p>
    <w:p w:rsidR="00E32970" w:rsidRPr="0053059B" w:rsidRDefault="00E32970" w:rsidP="00E32970">
      <w:pPr>
        <w:rPr>
          <w:b/>
          <w:sz w:val="24"/>
          <w:szCs w:val="24"/>
          <w:u w:val="single"/>
        </w:rPr>
      </w:pPr>
      <w:r w:rsidRPr="0053059B">
        <w:rPr>
          <w:b/>
          <w:sz w:val="24"/>
          <w:szCs w:val="24"/>
          <w:u w:val="single"/>
        </w:rPr>
        <w:t>Stage 2: District Level Analysis</w:t>
      </w:r>
    </w:p>
    <w:p w:rsidR="00E32970" w:rsidRPr="0053059B" w:rsidRDefault="00E32970" w:rsidP="00E32970">
      <w:pPr>
        <w:pStyle w:val="ListParagraph"/>
        <w:numPr>
          <w:ilvl w:val="0"/>
          <w:numId w:val="7"/>
        </w:numPr>
      </w:pPr>
      <w:r w:rsidRPr="0053059B">
        <w:t>Viability of Affordable Housing Provision</w:t>
      </w:r>
    </w:p>
    <w:tbl>
      <w:tblPr>
        <w:tblStyle w:val="TableGrid"/>
        <w:tblW w:w="14283" w:type="dxa"/>
        <w:tblLook w:val="04A0" w:firstRow="1" w:lastRow="0" w:firstColumn="1" w:lastColumn="0" w:noHBand="0" w:noVBand="1"/>
      </w:tblPr>
      <w:tblGrid>
        <w:gridCol w:w="13008"/>
        <w:gridCol w:w="1275"/>
      </w:tblGrid>
      <w:tr w:rsidR="00E32970" w:rsidRPr="00E32970" w:rsidTr="00387E04">
        <w:tc>
          <w:tcPr>
            <w:tcW w:w="13008" w:type="dxa"/>
          </w:tcPr>
          <w:p w:rsidR="00E32970" w:rsidRPr="0053059B" w:rsidRDefault="00E32970" w:rsidP="00E32970">
            <w:pPr>
              <w:numPr>
                <w:ilvl w:val="0"/>
                <w:numId w:val="3"/>
              </w:numPr>
              <w:contextualSpacing/>
            </w:pPr>
            <w:r w:rsidRPr="0053059B">
              <w:t>The site is likely to deliver 11 or more dwellings (irrespective of being in a designated rural area or not). Affordable housing on site is obtained.</w:t>
            </w:r>
          </w:p>
        </w:tc>
        <w:tc>
          <w:tcPr>
            <w:tcW w:w="1275" w:type="dxa"/>
          </w:tcPr>
          <w:p w:rsidR="00E32970" w:rsidRPr="00E32970" w:rsidRDefault="00E32970" w:rsidP="00387E04">
            <w:pPr>
              <w:jc w:val="center"/>
              <w:rPr>
                <w:b/>
                <w:highlight w:val="yellow"/>
              </w:rPr>
            </w:pPr>
            <w:r w:rsidRPr="0053059B">
              <w:rPr>
                <w:b/>
              </w:rPr>
              <w:t>Yes</w:t>
            </w:r>
          </w:p>
        </w:tc>
      </w:tr>
      <w:tr w:rsidR="00E32970" w:rsidRPr="00E32970" w:rsidTr="00387E04">
        <w:tc>
          <w:tcPr>
            <w:tcW w:w="13008" w:type="dxa"/>
          </w:tcPr>
          <w:p w:rsidR="00E32970" w:rsidRPr="0053059B" w:rsidRDefault="00E32970" w:rsidP="00E32970">
            <w:pPr>
              <w:numPr>
                <w:ilvl w:val="0"/>
                <w:numId w:val="3"/>
              </w:numPr>
              <w:contextualSpacing/>
            </w:pPr>
            <w:r w:rsidRPr="0053059B">
              <w:t>The site is in a designated rural area, and is likely to deliver 6 or more dwellings. A financial contribution towards affordable housing is obtained.</w:t>
            </w:r>
          </w:p>
        </w:tc>
        <w:tc>
          <w:tcPr>
            <w:tcW w:w="1275" w:type="dxa"/>
          </w:tcPr>
          <w:p w:rsidR="00E32970" w:rsidRPr="00E32970" w:rsidRDefault="00E32970" w:rsidP="00387E04">
            <w:pPr>
              <w:jc w:val="center"/>
              <w:rPr>
                <w:b/>
                <w:highlight w:val="yellow"/>
              </w:rPr>
            </w:pPr>
          </w:p>
        </w:tc>
      </w:tr>
      <w:tr w:rsidR="00E32970" w:rsidRPr="00E32970" w:rsidTr="00387E04">
        <w:tc>
          <w:tcPr>
            <w:tcW w:w="13008" w:type="dxa"/>
          </w:tcPr>
          <w:p w:rsidR="00E32970" w:rsidRPr="0053059B" w:rsidRDefault="00E32970" w:rsidP="00E32970">
            <w:pPr>
              <w:numPr>
                <w:ilvl w:val="0"/>
                <w:numId w:val="3"/>
              </w:numPr>
              <w:contextualSpacing/>
            </w:pPr>
            <w:r w:rsidRPr="0053059B">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E32970" w:rsidRPr="00E32970" w:rsidRDefault="00E32970" w:rsidP="00387E04">
            <w:pPr>
              <w:jc w:val="center"/>
              <w:rPr>
                <w:b/>
                <w:highlight w:val="yellow"/>
              </w:rPr>
            </w:pPr>
          </w:p>
        </w:tc>
      </w:tr>
    </w:tbl>
    <w:p w:rsidR="00E32970" w:rsidRPr="00E32970" w:rsidRDefault="00E32970" w:rsidP="00E32970">
      <w:pPr>
        <w:rPr>
          <w:highlight w:val="yellow"/>
        </w:rPr>
      </w:pPr>
    </w:p>
    <w:p w:rsidR="00E32970" w:rsidRPr="0053059B" w:rsidRDefault="00E32970" w:rsidP="00E32970">
      <w:pPr>
        <w:pStyle w:val="ListParagraph"/>
        <w:numPr>
          <w:ilvl w:val="0"/>
          <w:numId w:val="7"/>
        </w:numPr>
      </w:pPr>
      <w:r w:rsidRPr="0053059B">
        <w:lastRenderedPageBreak/>
        <w:t>Site Proximity to Designated Landscape Features</w:t>
      </w:r>
    </w:p>
    <w:tbl>
      <w:tblPr>
        <w:tblStyle w:val="TableGrid"/>
        <w:tblW w:w="14425" w:type="dxa"/>
        <w:tblLook w:val="04A0" w:firstRow="1" w:lastRow="0" w:firstColumn="1" w:lastColumn="0" w:noHBand="0" w:noVBand="1"/>
      </w:tblPr>
      <w:tblGrid>
        <w:gridCol w:w="13008"/>
        <w:gridCol w:w="1417"/>
      </w:tblGrid>
      <w:tr w:rsidR="00E32970" w:rsidRPr="00E32970" w:rsidTr="00387E04">
        <w:tc>
          <w:tcPr>
            <w:tcW w:w="13008" w:type="dxa"/>
          </w:tcPr>
          <w:p w:rsidR="00E32970" w:rsidRPr="0053059B" w:rsidRDefault="00E32970" w:rsidP="00E32970">
            <w:pPr>
              <w:numPr>
                <w:ilvl w:val="0"/>
                <w:numId w:val="4"/>
              </w:numPr>
              <w:contextualSpacing/>
              <w:jc w:val="both"/>
            </w:pPr>
            <w:r w:rsidRPr="0053059B">
              <w:t xml:space="preserve">Site is likely to have potential to harm the special qualities of the designated landscapes of the YDNP or the AONB, and any harm cannot be </w:t>
            </w:r>
            <w:proofErr w:type="gramStart"/>
            <w:r w:rsidRPr="0053059B">
              <w:t>mitigated</w:t>
            </w:r>
            <w:proofErr w:type="gramEnd"/>
            <w:r w:rsidRPr="0053059B">
              <w:t xml:space="preserve"> against.</w:t>
            </w:r>
          </w:p>
          <w:p w:rsidR="00E32970" w:rsidRPr="0053059B" w:rsidRDefault="00E32970" w:rsidP="00387E04"/>
        </w:tc>
        <w:tc>
          <w:tcPr>
            <w:tcW w:w="1417" w:type="dxa"/>
          </w:tcPr>
          <w:p w:rsidR="00E32970" w:rsidRPr="0053059B" w:rsidRDefault="00E32970" w:rsidP="00387E04">
            <w:pPr>
              <w:jc w:val="center"/>
              <w:rPr>
                <w:b/>
              </w:rPr>
            </w:pPr>
            <w:r w:rsidRPr="0053059B">
              <w:rPr>
                <w:b/>
              </w:rPr>
              <w:t>No</w:t>
            </w:r>
          </w:p>
        </w:tc>
      </w:tr>
      <w:tr w:rsidR="00E32970" w:rsidRPr="00E32970" w:rsidTr="00387E04">
        <w:tc>
          <w:tcPr>
            <w:tcW w:w="13008" w:type="dxa"/>
          </w:tcPr>
          <w:p w:rsidR="00E32970" w:rsidRPr="0053059B" w:rsidRDefault="00E32970" w:rsidP="00E32970">
            <w:pPr>
              <w:numPr>
                <w:ilvl w:val="0"/>
                <w:numId w:val="4"/>
              </w:numPr>
              <w:contextualSpacing/>
            </w:pPr>
            <w:r w:rsidRPr="0053059B">
              <w:t>The location of the site in the context of the settlement (i.e. north-west, central, south-east, etc.; this gives an indication of relative proximity to YDNP or AONB, whichever is the nearest).</w:t>
            </w:r>
          </w:p>
        </w:tc>
        <w:tc>
          <w:tcPr>
            <w:tcW w:w="1417" w:type="dxa"/>
            <w:shd w:val="clear" w:color="auto" w:fill="FFFFFF" w:themeFill="background1"/>
          </w:tcPr>
          <w:p w:rsidR="00E32970" w:rsidRPr="0053059B" w:rsidRDefault="0053059B" w:rsidP="00387E04">
            <w:pPr>
              <w:jc w:val="center"/>
              <w:rPr>
                <w:b/>
              </w:rPr>
            </w:pPr>
            <w:r w:rsidRPr="0053059B">
              <w:rPr>
                <w:b/>
              </w:rPr>
              <w:t>West</w:t>
            </w:r>
          </w:p>
        </w:tc>
      </w:tr>
    </w:tbl>
    <w:p w:rsidR="00E32970" w:rsidRPr="00E32970" w:rsidRDefault="00E32970" w:rsidP="00E32970">
      <w:pPr>
        <w:ind w:left="720"/>
        <w:contextualSpacing/>
        <w:rPr>
          <w:highlight w:val="yellow"/>
        </w:rPr>
      </w:pPr>
    </w:p>
    <w:p w:rsidR="00E32970" w:rsidRPr="0053059B" w:rsidRDefault="00E32970" w:rsidP="00E32970">
      <w:pPr>
        <w:ind w:left="720"/>
        <w:contextualSpacing/>
      </w:pPr>
    </w:p>
    <w:p w:rsidR="00E32970" w:rsidRPr="0053059B" w:rsidRDefault="00E32970" w:rsidP="00E32970">
      <w:pPr>
        <w:numPr>
          <w:ilvl w:val="0"/>
          <w:numId w:val="7"/>
        </w:numPr>
        <w:ind w:left="720" w:hanging="360"/>
        <w:contextualSpacing/>
      </w:pPr>
      <w:r w:rsidRPr="0053059B">
        <w:t>Site Proximity to Designated Natural Environment Features</w:t>
      </w:r>
    </w:p>
    <w:p w:rsidR="00E32970" w:rsidRPr="00E32970" w:rsidRDefault="00E32970" w:rsidP="00E32970">
      <w:pPr>
        <w:ind w:left="720"/>
        <w:contextualSpacing/>
        <w:rPr>
          <w:b/>
          <w:highlight w:val="yellow"/>
        </w:rPr>
      </w:pPr>
    </w:p>
    <w:tbl>
      <w:tblPr>
        <w:tblStyle w:val="TableGrid"/>
        <w:tblW w:w="14425" w:type="dxa"/>
        <w:tblLook w:val="04A0" w:firstRow="1" w:lastRow="0" w:firstColumn="1" w:lastColumn="0" w:noHBand="0" w:noVBand="1"/>
      </w:tblPr>
      <w:tblGrid>
        <w:gridCol w:w="13008"/>
        <w:gridCol w:w="1417"/>
      </w:tblGrid>
      <w:tr w:rsidR="00E32970" w:rsidRPr="00E32970" w:rsidTr="00387E04">
        <w:tc>
          <w:tcPr>
            <w:tcW w:w="13008" w:type="dxa"/>
          </w:tcPr>
          <w:p w:rsidR="00E32970" w:rsidRPr="0053059B" w:rsidRDefault="00E32970" w:rsidP="00E32970">
            <w:pPr>
              <w:numPr>
                <w:ilvl w:val="0"/>
                <w:numId w:val="5"/>
              </w:numPr>
              <w:contextualSpacing/>
              <w:jc w:val="both"/>
            </w:pPr>
            <w:r w:rsidRPr="0053059B">
              <w:t xml:space="preserve">Site is likely to have potential to harm the special qualities of the designated landscapes of the SPA, SAC or </w:t>
            </w:r>
            <w:proofErr w:type="spellStart"/>
            <w:r w:rsidRPr="0053059B">
              <w:t>Ramsar</w:t>
            </w:r>
            <w:proofErr w:type="spellEnd"/>
            <w:r w:rsidRPr="0053059B">
              <w:t xml:space="preserve">, and any harm cannot be </w:t>
            </w:r>
            <w:proofErr w:type="gramStart"/>
            <w:r w:rsidRPr="0053059B">
              <w:t>mitigated</w:t>
            </w:r>
            <w:proofErr w:type="gramEnd"/>
            <w:r w:rsidRPr="0053059B">
              <w:t xml:space="preserve"> against.</w:t>
            </w:r>
          </w:p>
          <w:p w:rsidR="00E32970" w:rsidRPr="0053059B" w:rsidRDefault="00E32970" w:rsidP="00387E04"/>
        </w:tc>
        <w:tc>
          <w:tcPr>
            <w:tcW w:w="1417" w:type="dxa"/>
          </w:tcPr>
          <w:p w:rsidR="00E32970" w:rsidRPr="0053059B" w:rsidRDefault="002F0E80" w:rsidP="00387E04">
            <w:pPr>
              <w:jc w:val="center"/>
              <w:rPr>
                <w:b/>
              </w:rPr>
            </w:pPr>
            <w:r>
              <w:rPr>
                <w:b/>
              </w:rPr>
              <w:t>No</w:t>
            </w:r>
          </w:p>
        </w:tc>
      </w:tr>
      <w:tr w:rsidR="00E32970" w:rsidRPr="00E32970" w:rsidTr="00387E04">
        <w:tc>
          <w:tcPr>
            <w:tcW w:w="13008" w:type="dxa"/>
          </w:tcPr>
          <w:p w:rsidR="00E32970" w:rsidRPr="0053059B" w:rsidRDefault="00E32970" w:rsidP="00E32970">
            <w:pPr>
              <w:numPr>
                <w:ilvl w:val="0"/>
                <w:numId w:val="5"/>
              </w:numPr>
              <w:contextualSpacing/>
            </w:pPr>
            <w:r w:rsidRPr="0053059B">
              <w:t xml:space="preserve">The location of the site in the context of the settlement (i.e. north-west, central, south-east, etc.; this gives an indication of relative proximity to a SPA, SAC or </w:t>
            </w:r>
            <w:proofErr w:type="spellStart"/>
            <w:r w:rsidRPr="0053059B">
              <w:t>Ramsar</w:t>
            </w:r>
            <w:proofErr w:type="spellEnd"/>
            <w:r w:rsidRPr="0053059B">
              <w:t>, whichever is the nearest).</w:t>
            </w:r>
          </w:p>
        </w:tc>
        <w:tc>
          <w:tcPr>
            <w:tcW w:w="1417" w:type="dxa"/>
            <w:shd w:val="clear" w:color="auto" w:fill="FFFFFF" w:themeFill="background1"/>
          </w:tcPr>
          <w:p w:rsidR="00E32970" w:rsidRPr="0053059B" w:rsidRDefault="0053059B" w:rsidP="00387E04">
            <w:pPr>
              <w:jc w:val="center"/>
              <w:rPr>
                <w:b/>
              </w:rPr>
            </w:pPr>
            <w:r w:rsidRPr="0053059B">
              <w:rPr>
                <w:b/>
              </w:rPr>
              <w:t>West</w:t>
            </w:r>
          </w:p>
        </w:tc>
      </w:tr>
    </w:tbl>
    <w:p w:rsidR="00E32970" w:rsidRPr="00E32970" w:rsidRDefault="00E32970" w:rsidP="00E32970">
      <w:pPr>
        <w:rPr>
          <w:highlight w:val="yellow"/>
        </w:rPr>
      </w:pPr>
    </w:p>
    <w:p w:rsidR="00E32970" w:rsidRPr="0053059B" w:rsidRDefault="00E32970" w:rsidP="00E32970">
      <w:pPr>
        <w:numPr>
          <w:ilvl w:val="0"/>
          <w:numId w:val="7"/>
        </w:numPr>
        <w:ind w:left="720" w:hanging="360"/>
        <w:contextualSpacing/>
      </w:pPr>
      <w:r w:rsidRPr="0053059B">
        <w:t>Site Position in relation to Health &amp; Safety Executive (HSE) Zone</w:t>
      </w:r>
    </w:p>
    <w:p w:rsidR="00E32970" w:rsidRPr="00E32970" w:rsidRDefault="00E32970" w:rsidP="00E32970">
      <w:pPr>
        <w:ind w:left="720"/>
        <w:contextualSpacing/>
        <w:rPr>
          <w:b/>
          <w:highlight w:val="yellow"/>
        </w:rPr>
      </w:pPr>
    </w:p>
    <w:tbl>
      <w:tblPr>
        <w:tblStyle w:val="TableGrid"/>
        <w:tblW w:w="14425" w:type="dxa"/>
        <w:tblLook w:val="04A0" w:firstRow="1" w:lastRow="0" w:firstColumn="1" w:lastColumn="0" w:noHBand="0" w:noVBand="1"/>
      </w:tblPr>
      <w:tblGrid>
        <w:gridCol w:w="13008"/>
        <w:gridCol w:w="1417"/>
      </w:tblGrid>
      <w:tr w:rsidR="00E32970" w:rsidRPr="00E32970" w:rsidTr="00387E04">
        <w:tc>
          <w:tcPr>
            <w:tcW w:w="13008" w:type="dxa"/>
          </w:tcPr>
          <w:p w:rsidR="00E32970" w:rsidRPr="0053059B" w:rsidRDefault="00E32970" w:rsidP="00E32970">
            <w:pPr>
              <w:numPr>
                <w:ilvl w:val="0"/>
                <w:numId w:val="2"/>
              </w:numPr>
              <w:contextualSpacing/>
            </w:pPr>
            <w:r w:rsidRPr="0053059B">
              <w:t>The site lies in the outer Health &amp; Safety Executive zone, or not in an HSE zone.</w:t>
            </w:r>
          </w:p>
        </w:tc>
        <w:tc>
          <w:tcPr>
            <w:tcW w:w="1417" w:type="dxa"/>
          </w:tcPr>
          <w:p w:rsidR="00E32970" w:rsidRPr="0053059B" w:rsidRDefault="00E32970" w:rsidP="00387E04">
            <w:pPr>
              <w:jc w:val="center"/>
              <w:rPr>
                <w:b/>
              </w:rPr>
            </w:pPr>
            <w:r w:rsidRPr="0053059B">
              <w:rPr>
                <w:b/>
              </w:rPr>
              <w:t>Yes</w:t>
            </w:r>
          </w:p>
        </w:tc>
      </w:tr>
      <w:tr w:rsidR="00E32970" w:rsidRPr="00E32970" w:rsidTr="00387E04">
        <w:tc>
          <w:tcPr>
            <w:tcW w:w="13008" w:type="dxa"/>
          </w:tcPr>
          <w:p w:rsidR="00E32970" w:rsidRPr="0053059B" w:rsidRDefault="00E32970" w:rsidP="00E32970">
            <w:pPr>
              <w:numPr>
                <w:ilvl w:val="0"/>
                <w:numId w:val="2"/>
              </w:numPr>
              <w:contextualSpacing/>
            </w:pPr>
            <w:r w:rsidRPr="0053059B">
              <w:t>The site lies in the Health &amp; Safety Executive middle zone.</w:t>
            </w:r>
          </w:p>
        </w:tc>
        <w:tc>
          <w:tcPr>
            <w:tcW w:w="1417" w:type="dxa"/>
          </w:tcPr>
          <w:p w:rsidR="00E32970" w:rsidRPr="0053059B" w:rsidRDefault="00E32970" w:rsidP="00387E04">
            <w:pPr>
              <w:jc w:val="center"/>
            </w:pPr>
          </w:p>
        </w:tc>
      </w:tr>
      <w:tr w:rsidR="00E32970" w:rsidRPr="00E32970" w:rsidTr="00387E04">
        <w:tc>
          <w:tcPr>
            <w:tcW w:w="13008" w:type="dxa"/>
          </w:tcPr>
          <w:p w:rsidR="00E32970" w:rsidRPr="0053059B" w:rsidRDefault="00E32970" w:rsidP="00E32970">
            <w:pPr>
              <w:numPr>
                <w:ilvl w:val="0"/>
                <w:numId w:val="2"/>
              </w:numPr>
              <w:contextualSpacing/>
            </w:pPr>
            <w:r w:rsidRPr="0053059B">
              <w:t>The site lies in the Health &amp; Safety Executive inner zone.</w:t>
            </w:r>
          </w:p>
        </w:tc>
        <w:tc>
          <w:tcPr>
            <w:tcW w:w="1417" w:type="dxa"/>
          </w:tcPr>
          <w:p w:rsidR="00E32970" w:rsidRPr="0053059B" w:rsidRDefault="00E32970" w:rsidP="00387E04">
            <w:pPr>
              <w:jc w:val="center"/>
            </w:pPr>
          </w:p>
        </w:tc>
      </w:tr>
    </w:tbl>
    <w:p w:rsidR="00E32970" w:rsidRPr="00E32970" w:rsidRDefault="00E32970" w:rsidP="00E32970">
      <w:pPr>
        <w:rPr>
          <w:highlight w:val="yellow"/>
        </w:rPr>
      </w:pPr>
    </w:p>
    <w:p w:rsidR="0053059B" w:rsidRPr="00FE5EFB" w:rsidRDefault="0053059B" w:rsidP="0053059B">
      <w:pPr>
        <w:jc w:val="both"/>
      </w:pPr>
      <w:r w:rsidRPr="00FE5EFB">
        <w:rPr>
          <w:b/>
          <w:i/>
        </w:rPr>
        <w:t>Result:</w:t>
      </w:r>
      <w:r w:rsidRPr="00FE5EFB">
        <w:rPr>
          <w:b/>
        </w:rPr>
        <w:t xml:space="preserve"> </w:t>
      </w:r>
      <w:r w:rsidRPr="00FE5EFB">
        <w:t xml:space="preserve">The site passes </w:t>
      </w:r>
      <w:r>
        <w:t>three of</w:t>
      </w:r>
      <w:r w:rsidRPr="00FE5EFB">
        <w:t xml:space="preserve"> four</w:t>
      </w:r>
      <w:r>
        <w:t xml:space="preserve"> of the</w:t>
      </w:r>
      <w:r w:rsidRPr="00FE5EFB">
        <w:t xml:space="preserve"> District Level Analyses. After a comparison with other Pool of Site options in </w:t>
      </w:r>
      <w:r>
        <w:t>Burton in Lonsdale</w:t>
      </w:r>
      <w:r w:rsidRPr="00FE5EFB">
        <w:t xml:space="preserve">, the site is considered suitable as one of the </w:t>
      </w:r>
      <w:r w:rsidRPr="00FE5EFB">
        <w:rPr>
          <w:b/>
        </w:rPr>
        <w:t>Preferred Sites</w:t>
      </w:r>
      <w:r w:rsidRPr="00FE5EFB">
        <w:t xml:space="preserve"> in this settlement. </w:t>
      </w:r>
    </w:p>
    <w:p w:rsidR="0053059B" w:rsidRPr="00FE5EFB" w:rsidRDefault="0053059B" w:rsidP="0053059B">
      <w:pPr>
        <w:rPr>
          <w:b/>
          <w:sz w:val="24"/>
          <w:szCs w:val="24"/>
          <w:u w:val="single"/>
        </w:rPr>
      </w:pPr>
      <w:r w:rsidRPr="00FE5EFB">
        <w:rPr>
          <w:b/>
          <w:sz w:val="24"/>
          <w:szCs w:val="24"/>
          <w:u w:val="single"/>
        </w:rPr>
        <w:t xml:space="preserve">Narrative of Site Analysis </w:t>
      </w:r>
    </w:p>
    <w:p w:rsidR="0053059B" w:rsidRPr="00A835EE" w:rsidRDefault="0053059B" w:rsidP="0053059B">
      <w:pPr>
        <w:jc w:val="both"/>
        <w:rPr>
          <w:highlight w:val="yellow"/>
        </w:rPr>
      </w:pPr>
      <w:r w:rsidRPr="00FE5EFB">
        <w:t xml:space="preserve">Site </w:t>
      </w:r>
      <w:r>
        <w:t>BU012</w:t>
      </w:r>
      <w:r w:rsidRPr="00FE5EFB">
        <w:t xml:space="preserve"> has numerous p</w:t>
      </w:r>
      <w:r w:rsidRPr="00B40429">
        <w:t xml:space="preserve">ositive aspects which have determined the site’s selection as a Preferred Site. The site is situated </w:t>
      </w:r>
      <w:r w:rsidR="00B40429" w:rsidRPr="00B40429">
        <w:t xml:space="preserve">just out of </w:t>
      </w:r>
      <w:r w:rsidRPr="00B40429">
        <w:t>the centre of</w:t>
      </w:r>
      <w:r w:rsidR="00B40429" w:rsidRPr="00B40429">
        <w:t xml:space="preserve"> Burton in Lonsdale’s</w:t>
      </w:r>
      <w:r w:rsidRPr="00B40429">
        <w:t xml:space="preserve"> built up area, </w:t>
      </w:r>
      <w:r w:rsidR="00B40429">
        <w:t xml:space="preserve">however due to the sites </w:t>
      </w:r>
      <w:r w:rsidR="00B40429" w:rsidRPr="00B40429">
        <w:t xml:space="preserve">current use as a primary school there are good links from the site to the centre. </w:t>
      </w:r>
      <w:r w:rsidRPr="00B40429">
        <w:t xml:space="preserve">The site has an </w:t>
      </w:r>
      <w:r w:rsidRPr="00B40429">
        <w:lastRenderedPageBreak/>
        <w:t>existing, safe access with good sightlines available.</w:t>
      </w:r>
      <w:r w:rsidRPr="00E0590C">
        <w:t xml:space="preserve"> The site </w:t>
      </w:r>
      <w:r w:rsidR="00B40429">
        <w:t>is used</w:t>
      </w:r>
      <w:r w:rsidRPr="00E0590C">
        <w:t xml:space="preserve"> as </w:t>
      </w:r>
      <w:r>
        <w:t>a primary school</w:t>
      </w:r>
      <w:r w:rsidR="00B40429">
        <w:t xml:space="preserve"> </w:t>
      </w:r>
      <w:r w:rsidRPr="00E0590C">
        <w:t>it is</w:t>
      </w:r>
      <w:r w:rsidR="00B40429">
        <w:t xml:space="preserve"> therefore</w:t>
      </w:r>
      <w:r w:rsidRPr="00E0590C">
        <w:t xml:space="preserve"> a brownfield site which is suitable for development</w:t>
      </w:r>
      <w:r w:rsidR="00B40429">
        <w:t xml:space="preserve"> and preferable over the use of a </w:t>
      </w:r>
      <w:proofErr w:type="gramStart"/>
      <w:r w:rsidR="00B40429">
        <w:t>greenfield</w:t>
      </w:r>
      <w:proofErr w:type="gramEnd"/>
      <w:r w:rsidR="00B40429">
        <w:t xml:space="preserve"> site</w:t>
      </w:r>
      <w:r w:rsidRPr="00E0590C">
        <w:t xml:space="preserve">. </w:t>
      </w:r>
      <w:r w:rsidR="00B40429" w:rsidRPr="00B40429">
        <w:t xml:space="preserve">The site is located to the west of the centre of Burton in </w:t>
      </w:r>
      <w:proofErr w:type="gramStart"/>
      <w:r w:rsidR="00B40429" w:rsidRPr="00B40429">
        <w:t>Lonsdale</w:t>
      </w:r>
      <w:r w:rsidR="00B40429">
        <w:t>,</w:t>
      </w:r>
      <w:proofErr w:type="gramEnd"/>
      <w:r w:rsidR="00B40429">
        <w:t xml:space="preserve"> this makes the site preferable due to Burton in Lonsdale being located close to </w:t>
      </w:r>
      <w:proofErr w:type="spellStart"/>
      <w:r w:rsidR="00B40429">
        <w:t>Ingleborough</w:t>
      </w:r>
      <w:proofErr w:type="spellEnd"/>
      <w:r w:rsidR="00B40429">
        <w:t xml:space="preserve"> Complex SAC and the National Park boundary to the north/north-east.  </w:t>
      </w:r>
      <w:r w:rsidRPr="00B40429">
        <w:t xml:space="preserve"> </w:t>
      </w:r>
    </w:p>
    <w:p w:rsidR="00F3790D" w:rsidRPr="00A835EE" w:rsidRDefault="00B40429" w:rsidP="00F3790D">
      <w:pPr>
        <w:jc w:val="both"/>
        <w:rPr>
          <w:highlight w:val="yellow"/>
        </w:rPr>
      </w:pPr>
      <w:r w:rsidRPr="00B40429">
        <w:t xml:space="preserve">The access road into </w:t>
      </w:r>
      <w:r w:rsidRPr="00F3790D">
        <w:t xml:space="preserve">the site would need widening to accommodate an increase in traffic. The site is wholly within Flood Zone 1 and has no concerns regarding surface water flooding. </w:t>
      </w:r>
      <w:r w:rsidR="00F3790D" w:rsidRPr="00F3790D">
        <w:t xml:space="preserve">The whole of the site area submitted to the SHLAA database can be utilised. </w:t>
      </w:r>
    </w:p>
    <w:p w:rsidR="0043163A" w:rsidRPr="0043163A" w:rsidRDefault="00B40429" w:rsidP="0053059B">
      <w:pPr>
        <w:jc w:val="both"/>
      </w:pPr>
      <w:r w:rsidRPr="00B40429">
        <w:t xml:space="preserve">The site plays no contribution to the character and appearance of the area however; there is a Grade II Listed Building on site. </w:t>
      </w:r>
      <w:r w:rsidR="0043163A" w:rsidRPr="0043163A">
        <w:t>In order to protect the setting of the Listed Building it is proposed that green infrastructure is placed to the south of the site. Within the net developable area the listed part of the building shall be converted for residential use with the earlier parts of the building available for demolition and part of the school area to the west available for redevelopment.</w:t>
      </w:r>
      <w:r w:rsidR="0043163A">
        <w:t xml:space="preserve"> </w:t>
      </w:r>
    </w:p>
    <w:p w:rsidR="0053059B" w:rsidRPr="0053059B" w:rsidRDefault="0066694F" w:rsidP="0053059B">
      <w:pPr>
        <w:rPr>
          <w:b/>
        </w:rPr>
      </w:pPr>
      <w:r>
        <w:rPr>
          <w:b/>
          <w:i/>
        </w:rPr>
        <w:t>Approximate</w:t>
      </w:r>
      <w:r w:rsidR="0053059B" w:rsidRPr="00315B13">
        <w:rPr>
          <w:b/>
          <w:i/>
        </w:rPr>
        <w:t xml:space="preserve"> Area:</w:t>
      </w:r>
      <w:r w:rsidR="0053059B" w:rsidRPr="00315B13">
        <w:rPr>
          <w:b/>
        </w:rPr>
        <w:t xml:space="preserve"> </w:t>
      </w:r>
      <w:r>
        <w:t>0.7</w:t>
      </w:r>
      <w:r w:rsidR="0053059B" w:rsidRPr="0053059B">
        <w:t xml:space="preserve"> hectares (</w:t>
      </w:r>
      <w:r>
        <w:t>including approximately 0.3 ha of additional green infrastructure)</w:t>
      </w:r>
    </w:p>
    <w:p w:rsidR="0053059B" w:rsidRPr="00A835EE" w:rsidRDefault="0066694F" w:rsidP="0053059B">
      <w:pPr>
        <w:rPr>
          <w:b/>
          <w:highlight w:val="yellow"/>
        </w:rPr>
      </w:pPr>
      <w:r>
        <w:rPr>
          <w:b/>
          <w:i/>
        </w:rPr>
        <w:t>Approximate Number of Dwellings</w:t>
      </w:r>
      <w:r w:rsidR="0053059B" w:rsidRPr="0053059B">
        <w:rPr>
          <w:b/>
          <w:i/>
        </w:rPr>
        <w:t>:</w:t>
      </w:r>
      <w:r w:rsidR="0053059B" w:rsidRPr="0053059B">
        <w:rPr>
          <w:b/>
        </w:rPr>
        <w:t xml:space="preserve"> </w:t>
      </w:r>
      <w:r>
        <w:t>15</w:t>
      </w:r>
      <w:r w:rsidR="0043163A">
        <w:t xml:space="preserve"> dwellings </w:t>
      </w:r>
    </w:p>
    <w:p w:rsidR="0053059B" w:rsidRDefault="0053059B" w:rsidP="0053059B">
      <w:pPr>
        <w:rPr>
          <w:b/>
          <w:i/>
        </w:rPr>
      </w:pPr>
      <w:r w:rsidRPr="00E0590C">
        <w:rPr>
          <w:b/>
          <w:i/>
        </w:rPr>
        <w:t xml:space="preserve">Development Principles: </w:t>
      </w:r>
    </w:p>
    <w:p w:rsidR="002873DD" w:rsidRPr="002873DD" w:rsidRDefault="002873DD" w:rsidP="002873DD">
      <w:pPr>
        <w:numPr>
          <w:ilvl w:val="0"/>
          <w:numId w:val="10"/>
        </w:numPr>
        <w:ind w:left="425"/>
        <w:contextualSpacing/>
        <w:rPr>
          <w:rFonts w:cstheme="minorHAnsi"/>
        </w:rPr>
      </w:pPr>
      <w:r w:rsidRPr="002873DD">
        <w:rPr>
          <w:rFonts w:cstheme="minorHAnsi"/>
        </w:rPr>
        <w:t xml:space="preserve">Conversion of the school and siting and design of development on the site to conserve the significance of heritage assets on and adjacent to the site and their settings (Burton-in-Lonsdale Conservation Area, Grade II Listed Burton Endowed First School, Schoolmasters House, garden wall and </w:t>
      </w:r>
      <w:proofErr w:type="spellStart"/>
      <w:r w:rsidRPr="002873DD">
        <w:rPr>
          <w:rFonts w:cstheme="minorHAnsi"/>
        </w:rPr>
        <w:t>gatepiers</w:t>
      </w:r>
      <w:proofErr w:type="spellEnd"/>
      <w:r w:rsidRPr="002873DD">
        <w:rPr>
          <w:rFonts w:cstheme="minorHAnsi"/>
        </w:rPr>
        <w:t>, Scheduled Ancient Monument Castle Hill Motte an</w:t>
      </w:r>
      <w:r>
        <w:rPr>
          <w:rFonts w:cstheme="minorHAnsi"/>
        </w:rPr>
        <w:t>d Bailey castle, Tranquil Vale);</w:t>
      </w:r>
    </w:p>
    <w:p w:rsidR="002873DD" w:rsidRPr="002873DD" w:rsidRDefault="002873DD" w:rsidP="002873DD">
      <w:pPr>
        <w:ind w:left="425"/>
        <w:contextualSpacing/>
        <w:rPr>
          <w:rFonts w:cstheme="minorHAnsi"/>
        </w:rPr>
      </w:pPr>
    </w:p>
    <w:p w:rsidR="002873DD" w:rsidRPr="002873DD" w:rsidRDefault="002873DD" w:rsidP="002873DD">
      <w:pPr>
        <w:numPr>
          <w:ilvl w:val="0"/>
          <w:numId w:val="10"/>
        </w:numPr>
        <w:ind w:left="425"/>
        <w:rPr>
          <w:rFonts w:cstheme="minorHAnsi"/>
        </w:rPr>
      </w:pPr>
      <w:r w:rsidRPr="002873DD">
        <w:rPr>
          <w:rFonts w:cstheme="minorHAnsi"/>
        </w:rPr>
        <w:t xml:space="preserve">Any development proposal should include an </w:t>
      </w:r>
      <w:proofErr w:type="spellStart"/>
      <w:r w:rsidRPr="002873DD">
        <w:rPr>
          <w:rFonts w:cstheme="minorHAnsi"/>
        </w:rPr>
        <w:t>Arboricultural</w:t>
      </w:r>
      <w:proofErr w:type="spellEnd"/>
      <w:r w:rsidRPr="002873DD">
        <w:rPr>
          <w:rFonts w:cstheme="minorHAnsi"/>
        </w:rPr>
        <w:t xml:space="preserve"> survey to ascertain the exact location, species and condition of all trees on site. All healthy trees should be retained and work undertaken to maint</w:t>
      </w:r>
      <w:r>
        <w:rPr>
          <w:rFonts w:cstheme="minorHAnsi"/>
        </w:rPr>
        <w:t>ain them in a healthy condition;</w:t>
      </w:r>
    </w:p>
    <w:p w:rsidR="002873DD" w:rsidRPr="002873DD" w:rsidRDefault="002873DD" w:rsidP="002873DD">
      <w:pPr>
        <w:ind w:left="425"/>
        <w:rPr>
          <w:rFonts w:cstheme="minorHAnsi"/>
          <w:sz w:val="16"/>
          <w:szCs w:val="16"/>
        </w:rPr>
      </w:pPr>
    </w:p>
    <w:p w:rsidR="002873DD" w:rsidRPr="002873DD" w:rsidRDefault="002873DD" w:rsidP="002873DD">
      <w:pPr>
        <w:numPr>
          <w:ilvl w:val="0"/>
          <w:numId w:val="10"/>
        </w:numPr>
        <w:ind w:left="425"/>
        <w:rPr>
          <w:rFonts w:cstheme="minorHAnsi"/>
        </w:rPr>
      </w:pPr>
      <w:r w:rsidRPr="002873DD">
        <w:rPr>
          <w:rFonts w:cstheme="minorHAnsi"/>
        </w:rPr>
        <w:t>Front terraces and all stone boundary walls should be retained as far as</w:t>
      </w:r>
      <w:r>
        <w:rPr>
          <w:rFonts w:cstheme="minorHAnsi"/>
        </w:rPr>
        <w:t xml:space="preserve"> possible and restored;</w:t>
      </w:r>
    </w:p>
    <w:p w:rsidR="002873DD" w:rsidRPr="002873DD" w:rsidRDefault="002873DD" w:rsidP="002873DD">
      <w:pPr>
        <w:ind w:left="425"/>
        <w:contextualSpacing/>
        <w:rPr>
          <w:rFonts w:cstheme="minorHAnsi"/>
        </w:rPr>
      </w:pPr>
    </w:p>
    <w:p w:rsidR="002873DD" w:rsidRPr="002873DD" w:rsidRDefault="002873DD" w:rsidP="002873DD">
      <w:pPr>
        <w:numPr>
          <w:ilvl w:val="0"/>
          <w:numId w:val="10"/>
        </w:numPr>
        <w:ind w:left="425"/>
        <w:rPr>
          <w:rFonts w:cstheme="minorHAnsi"/>
        </w:rPr>
      </w:pPr>
      <w:r w:rsidRPr="002873DD">
        <w:rPr>
          <w:rFonts w:cstheme="minorHAnsi"/>
        </w:rPr>
        <w:t xml:space="preserve">New build development is restricted to land at </w:t>
      </w:r>
      <w:r>
        <w:rPr>
          <w:rFonts w:cstheme="minorHAnsi"/>
        </w:rPr>
        <w:t>the rear (West) of the site;</w:t>
      </w:r>
    </w:p>
    <w:p w:rsidR="002873DD" w:rsidRPr="002873DD" w:rsidRDefault="002873DD" w:rsidP="002873DD">
      <w:pPr>
        <w:ind w:left="425"/>
        <w:contextualSpacing/>
        <w:rPr>
          <w:rFonts w:cstheme="minorHAnsi"/>
        </w:rPr>
      </w:pPr>
    </w:p>
    <w:p w:rsidR="002873DD" w:rsidRPr="002873DD" w:rsidRDefault="002873DD" w:rsidP="002873DD">
      <w:pPr>
        <w:numPr>
          <w:ilvl w:val="0"/>
          <w:numId w:val="10"/>
        </w:numPr>
        <w:ind w:left="425"/>
        <w:rPr>
          <w:rFonts w:cstheme="minorHAnsi"/>
        </w:rPr>
      </w:pPr>
      <w:r w:rsidRPr="002873DD">
        <w:rPr>
          <w:rFonts w:cstheme="minorHAnsi"/>
        </w:rPr>
        <w:lastRenderedPageBreak/>
        <w:t>Approximately 0.3ha of green infrastructure shall be provided on the site to protect the setting o</w:t>
      </w:r>
      <w:r>
        <w:rPr>
          <w:rFonts w:cstheme="minorHAnsi"/>
        </w:rPr>
        <w:t>f the Grade II Listed Building;</w:t>
      </w:r>
    </w:p>
    <w:p w:rsidR="002873DD" w:rsidRPr="002873DD" w:rsidRDefault="002873DD" w:rsidP="002873DD">
      <w:pPr>
        <w:ind w:left="720"/>
        <w:contextualSpacing/>
        <w:rPr>
          <w:rFonts w:eastAsia="Calibri" w:cstheme="minorHAnsi"/>
        </w:rPr>
      </w:pPr>
    </w:p>
    <w:p w:rsidR="002873DD" w:rsidRPr="002873DD" w:rsidRDefault="002873DD" w:rsidP="002873DD">
      <w:pPr>
        <w:numPr>
          <w:ilvl w:val="0"/>
          <w:numId w:val="8"/>
        </w:numPr>
        <w:ind w:left="425"/>
        <w:rPr>
          <w:rFonts w:cstheme="minorHAnsi"/>
        </w:rPr>
      </w:pPr>
      <w:r w:rsidRPr="002873DD">
        <w:rPr>
          <w:rFonts w:cstheme="minorHAnsi"/>
        </w:rPr>
        <w:t>Ground work assessment may be required as part of the on-site works to investigate areas thought to be</w:t>
      </w:r>
      <w:r>
        <w:rPr>
          <w:rFonts w:cstheme="minorHAnsi"/>
        </w:rPr>
        <w:t xml:space="preserve"> of archaeological significance;</w:t>
      </w:r>
    </w:p>
    <w:p w:rsidR="002873DD" w:rsidRPr="002873DD" w:rsidRDefault="002873DD" w:rsidP="002873DD">
      <w:pPr>
        <w:ind w:left="720"/>
        <w:contextualSpacing/>
        <w:rPr>
          <w:rFonts w:cstheme="minorHAnsi"/>
        </w:rPr>
      </w:pPr>
    </w:p>
    <w:p w:rsidR="002873DD" w:rsidRPr="002873DD" w:rsidRDefault="002873DD" w:rsidP="002873DD">
      <w:pPr>
        <w:numPr>
          <w:ilvl w:val="0"/>
          <w:numId w:val="10"/>
        </w:numPr>
        <w:ind w:left="425"/>
        <w:rPr>
          <w:rFonts w:cstheme="minorHAnsi"/>
        </w:rPr>
      </w:pPr>
      <w:r w:rsidRPr="002873DD">
        <w:rPr>
          <w:rFonts w:cstheme="minorHAnsi"/>
        </w:rPr>
        <w:t>The site is in a prominent location. Development proposals should be carefully and sensitively designed to minimise visual impact on the character and appearance of the area, and include measures to minimise impacts on air qua</w:t>
      </w:r>
      <w:r>
        <w:rPr>
          <w:rFonts w:cstheme="minorHAnsi"/>
        </w:rPr>
        <w:t>lity, noise and light pollution;</w:t>
      </w:r>
    </w:p>
    <w:p w:rsidR="002873DD" w:rsidRPr="002873DD" w:rsidRDefault="002873DD" w:rsidP="002873DD">
      <w:pPr>
        <w:ind w:left="425"/>
        <w:contextualSpacing/>
        <w:rPr>
          <w:rFonts w:cstheme="minorHAnsi"/>
        </w:rPr>
      </w:pPr>
    </w:p>
    <w:p w:rsidR="002873DD" w:rsidRPr="002873DD" w:rsidRDefault="002873DD" w:rsidP="002873DD">
      <w:pPr>
        <w:numPr>
          <w:ilvl w:val="0"/>
          <w:numId w:val="10"/>
        </w:numPr>
        <w:ind w:left="425"/>
        <w:rPr>
          <w:rFonts w:cstheme="minorHAnsi"/>
        </w:rPr>
      </w:pPr>
      <w:r w:rsidRPr="002873DD">
        <w:rPr>
          <w:rFonts w:cstheme="minorHAnsi"/>
        </w:rPr>
        <w:t xml:space="preserve">Access to the site is to </w:t>
      </w:r>
      <w:r>
        <w:rPr>
          <w:rFonts w:cstheme="minorHAnsi"/>
        </w:rPr>
        <w:t>be gained from the A687;</w:t>
      </w:r>
      <w:bookmarkStart w:id="0" w:name="_GoBack"/>
      <w:bookmarkEnd w:id="0"/>
    </w:p>
    <w:p w:rsidR="002873DD" w:rsidRPr="002873DD" w:rsidRDefault="002873DD" w:rsidP="002873DD">
      <w:pPr>
        <w:ind w:left="425"/>
        <w:contextualSpacing/>
        <w:rPr>
          <w:rFonts w:cstheme="minorHAnsi"/>
        </w:rPr>
      </w:pPr>
    </w:p>
    <w:p w:rsidR="002873DD" w:rsidRPr="002873DD" w:rsidRDefault="002873DD" w:rsidP="002873DD">
      <w:pPr>
        <w:numPr>
          <w:ilvl w:val="0"/>
          <w:numId w:val="10"/>
        </w:numPr>
        <w:spacing w:before="120" w:after="120"/>
        <w:ind w:left="425"/>
        <w:contextualSpacing/>
        <w:rPr>
          <w:rFonts w:cstheme="minorHAnsi"/>
        </w:rPr>
      </w:pPr>
      <w:r w:rsidRPr="002873DD">
        <w:rPr>
          <w:rFonts w:cstheme="minorHAnsi"/>
          <w:color w:val="000000" w:themeColor="text1"/>
        </w:rPr>
        <w:t xml:space="preserve">Development proposals for this site must accord with </w:t>
      </w:r>
      <w:r w:rsidRPr="002873DD">
        <w:rPr>
          <w:rFonts w:cstheme="minorHAnsi"/>
          <w:bCs/>
          <w:color w:val="000000" w:themeColor="text1"/>
        </w:rPr>
        <w:t>local plan policies H2, INF3 and INF6 (which set out requirements for contributions towards affordable housing, education provision and sport, open space and recreation facilities) and all other</w:t>
      </w:r>
      <w:r w:rsidRPr="002873DD">
        <w:rPr>
          <w:rFonts w:cstheme="minorHAnsi"/>
          <w:color w:val="000000" w:themeColor="text1"/>
        </w:rPr>
        <w:t xml:space="preserve"> relevant local plan policies.</w:t>
      </w:r>
    </w:p>
    <w:p w:rsidR="00F3790D" w:rsidRPr="00F3790D" w:rsidRDefault="00F3790D" w:rsidP="00254805"/>
    <w:sectPr w:rsidR="00F3790D" w:rsidRPr="00F3790D" w:rsidSect="00FC3903">
      <w:footerReference w:type="default" r:id="rId9"/>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17EA" w:rsidRDefault="003D17EA" w:rsidP="00FC3903">
      <w:pPr>
        <w:spacing w:after="0" w:line="240" w:lineRule="auto"/>
      </w:pPr>
      <w:r>
        <w:separator/>
      </w:r>
    </w:p>
  </w:endnote>
  <w:endnote w:type="continuationSeparator" w:id="0">
    <w:p w:rsidR="003D17EA" w:rsidRDefault="003D17EA"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FC3903" w:rsidRDefault="00FC3903">
        <w:pPr>
          <w:pStyle w:val="Footer"/>
          <w:jc w:val="center"/>
        </w:pPr>
        <w:r>
          <w:fldChar w:fldCharType="begin"/>
        </w:r>
        <w:r>
          <w:instrText xml:space="preserve"> PAGE   \* MERGEFORMAT </w:instrText>
        </w:r>
        <w:r>
          <w:fldChar w:fldCharType="separate"/>
        </w:r>
        <w:r w:rsidR="002873DD">
          <w:rPr>
            <w:noProof/>
          </w:rPr>
          <w:t>1</w:t>
        </w:r>
        <w:r>
          <w:rPr>
            <w:noProof/>
          </w:rPr>
          <w:fldChar w:fldCharType="end"/>
        </w:r>
      </w:p>
    </w:sdtContent>
  </w:sdt>
  <w:p w:rsidR="00FC3903" w:rsidRDefault="00FC39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17EA" w:rsidRDefault="003D17EA" w:rsidP="00FC3903">
      <w:pPr>
        <w:spacing w:after="0" w:line="240" w:lineRule="auto"/>
      </w:pPr>
      <w:r>
        <w:separator/>
      </w:r>
    </w:p>
  </w:footnote>
  <w:footnote w:type="continuationSeparator" w:id="0">
    <w:p w:rsidR="003D17EA" w:rsidRDefault="003D17EA"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BEF7E8E"/>
    <w:multiLevelType w:val="hybridMultilevel"/>
    <w:tmpl w:val="C79E7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452535C"/>
    <w:multiLevelType w:val="hybridMultilevel"/>
    <w:tmpl w:val="74764818"/>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78954FC6"/>
    <w:multiLevelType w:val="hybridMultilevel"/>
    <w:tmpl w:val="3946B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7"/>
  </w:num>
  <w:num w:numId="6">
    <w:abstractNumId w:val="3"/>
  </w:num>
  <w:num w:numId="7">
    <w:abstractNumId w:val="6"/>
  </w:num>
  <w:num w:numId="8">
    <w:abstractNumId w:val="2"/>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0732B"/>
    <w:rsid w:val="000D020A"/>
    <w:rsid w:val="00165FD4"/>
    <w:rsid w:val="001B7854"/>
    <w:rsid w:val="001D7818"/>
    <w:rsid w:val="0024695A"/>
    <w:rsid w:val="00254805"/>
    <w:rsid w:val="002873DD"/>
    <w:rsid w:val="002C0460"/>
    <w:rsid w:val="002C7E39"/>
    <w:rsid w:val="002F0E80"/>
    <w:rsid w:val="003D17EA"/>
    <w:rsid w:val="0043163A"/>
    <w:rsid w:val="004E3847"/>
    <w:rsid w:val="0053059B"/>
    <w:rsid w:val="0053462A"/>
    <w:rsid w:val="005A754F"/>
    <w:rsid w:val="005C29E4"/>
    <w:rsid w:val="0066694F"/>
    <w:rsid w:val="00776515"/>
    <w:rsid w:val="007C4CD1"/>
    <w:rsid w:val="008264EE"/>
    <w:rsid w:val="00834C80"/>
    <w:rsid w:val="0092329A"/>
    <w:rsid w:val="00993C7B"/>
    <w:rsid w:val="009F3689"/>
    <w:rsid w:val="00A13D68"/>
    <w:rsid w:val="00A64A60"/>
    <w:rsid w:val="00B11693"/>
    <w:rsid w:val="00B40429"/>
    <w:rsid w:val="00B86D7F"/>
    <w:rsid w:val="00BC197E"/>
    <w:rsid w:val="00BD543D"/>
    <w:rsid w:val="00C1109B"/>
    <w:rsid w:val="00C53632"/>
    <w:rsid w:val="00CB577C"/>
    <w:rsid w:val="00CD432F"/>
    <w:rsid w:val="00CF6B0D"/>
    <w:rsid w:val="00D1292C"/>
    <w:rsid w:val="00DA313F"/>
    <w:rsid w:val="00E22A10"/>
    <w:rsid w:val="00E32970"/>
    <w:rsid w:val="00E411AF"/>
    <w:rsid w:val="00E67360"/>
    <w:rsid w:val="00E94EFD"/>
    <w:rsid w:val="00F2287F"/>
    <w:rsid w:val="00F3790D"/>
    <w:rsid w:val="00F62E2A"/>
    <w:rsid w:val="00F85A12"/>
    <w:rsid w:val="00FC3903"/>
    <w:rsid w:val="00FD2B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9991034">
      <w:bodyDiv w:val="1"/>
      <w:marLeft w:val="0"/>
      <w:marRight w:val="0"/>
      <w:marTop w:val="0"/>
      <w:marBottom w:val="0"/>
      <w:divBdr>
        <w:top w:val="none" w:sz="0" w:space="0" w:color="auto"/>
        <w:left w:val="none" w:sz="0" w:space="0" w:color="auto"/>
        <w:bottom w:val="none" w:sz="0" w:space="0" w:color="auto"/>
        <w:right w:val="none" w:sz="0" w:space="0" w:color="auto"/>
      </w:divBdr>
    </w:div>
    <w:div w:id="1790854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D01DB-6BC9-4349-A2BE-7B87E83B4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5</Pages>
  <Words>1195</Words>
  <Characters>6813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30</cp:revision>
  <dcterms:created xsi:type="dcterms:W3CDTF">2017-02-21T07:58:00Z</dcterms:created>
  <dcterms:modified xsi:type="dcterms:W3CDTF">2019-11-11T11:01:00Z</dcterms:modified>
</cp:coreProperties>
</file>